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FCD" w:rsidRPr="00BE1D91" w:rsidRDefault="00B76FCD" w:rsidP="00BE1D91">
      <w:pPr>
        <w:spacing w:line="480" w:lineRule="auto"/>
        <w:rPr>
          <w:rFonts w:ascii="Times New Roman" w:hAnsi="Times New Roman" w:cs="Times New Roman"/>
          <w:sz w:val="24"/>
          <w:szCs w:val="24"/>
        </w:rPr>
      </w:pPr>
    </w:p>
    <w:p w:rsidR="00F8458C" w:rsidRDefault="00F8458C" w:rsidP="00F8458C">
      <w:pPr>
        <w:spacing w:line="480" w:lineRule="auto"/>
        <w:jc w:val="center"/>
        <w:rPr>
          <w:rFonts w:ascii="Times New Roman" w:hAnsi="Times New Roman" w:cs="Times New Roman"/>
          <w:sz w:val="24"/>
          <w:szCs w:val="24"/>
        </w:rPr>
      </w:pPr>
      <w:r>
        <w:rPr>
          <w:rFonts w:ascii="Times New Roman" w:hAnsi="Times New Roman" w:cs="Times New Roman"/>
          <w:sz w:val="24"/>
          <w:szCs w:val="24"/>
        </w:rPr>
        <w:t>Types of Tobacco Consumption i</w:t>
      </w:r>
      <w:r w:rsidRPr="002C3D2D">
        <w:rPr>
          <w:rFonts w:ascii="Times New Roman" w:hAnsi="Times New Roman" w:cs="Times New Roman"/>
          <w:sz w:val="24"/>
          <w:szCs w:val="24"/>
        </w:rPr>
        <w:t xml:space="preserve">n </w:t>
      </w:r>
      <w:r>
        <w:rPr>
          <w:rFonts w:ascii="Times New Roman" w:hAnsi="Times New Roman" w:cs="Times New Roman"/>
          <w:sz w:val="24"/>
          <w:szCs w:val="24"/>
        </w:rPr>
        <w:t>t</w:t>
      </w:r>
      <w:r w:rsidRPr="002C3D2D">
        <w:rPr>
          <w:rFonts w:ascii="Times New Roman" w:hAnsi="Times New Roman" w:cs="Times New Roman"/>
          <w:sz w:val="24"/>
          <w:szCs w:val="24"/>
        </w:rPr>
        <w:t>he Gulf Region.</w:t>
      </w:r>
    </w:p>
    <w:p w:rsidR="00F8458C" w:rsidRDefault="00F8458C" w:rsidP="00F8458C">
      <w:pPr>
        <w:spacing w:line="480" w:lineRule="auto"/>
        <w:jc w:val="center"/>
        <w:rPr>
          <w:rFonts w:ascii="Times New Roman" w:hAnsi="Times New Roman" w:cs="Times New Roman"/>
          <w:sz w:val="24"/>
          <w:szCs w:val="24"/>
        </w:rPr>
      </w:pPr>
    </w:p>
    <w:p w:rsidR="00F8458C" w:rsidRDefault="00F8458C" w:rsidP="00F8458C">
      <w:pPr>
        <w:spacing w:line="480" w:lineRule="auto"/>
        <w:jc w:val="center"/>
        <w:rPr>
          <w:rFonts w:ascii="Times New Roman" w:hAnsi="Times New Roman" w:cs="Times New Roman"/>
          <w:sz w:val="24"/>
          <w:szCs w:val="24"/>
        </w:rPr>
      </w:pPr>
    </w:p>
    <w:p w:rsidR="00F8458C" w:rsidRDefault="00F8458C" w:rsidP="00F8458C">
      <w:pPr>
        <w:spacing w:line="480" w:lineRule="auto"/>
        <w:jc w:val="center"/>
        <w:rPr>
          <w:rFonts w:ascii="Times New Roman" w:hAnsi="Times New Roman" w:cs="Times New Roman"/>
          <w:sz w:val="24"/>
          <w:szCs w:val="24"/>
        </w:rPr>
      </w:pPr>
    </w:p>
    <w:p w:rsidR="00B76FCD" w:rsidRPr="00BE1D91" w:rsidRDefault="00B76FCD" w:rsidP="00F8458C">
      <w:pPr>
        <w:spacing w:line="480" w:lineRule="auto"/>
        <w:jc w:val="center"/>
        <w:rPr>
          <w:rFonts w:ascii="Times New Roman" w:hAnsi="Times New Roman" w:cs="Times New Roman"/>
          <w:sz w:val="24"/>
          <w:szCs w:val="24"/>
        </w:rPr>
      </w:pPr>
      <w:r w:rsidRPr="00BE1D91">
        <w:rPr>
          <w:rFonts w:ascii="Times New Roman" w:hAnsi="Times New Roman" w:cs="Times New Roman"/>
          <w:sz w:val="24"/>
          <w:szCs w:val="24"/>
        </w:rPr>
        <w:t>Name</w:t>
      </w:r>
    </w:p>
    <w:p w:rsidR="00B76FCD" w:rsidRPr="00BE1D91" w:rsidRDefault="00B76FCD" w:rsidP="00BE1D91">
      <w:pPr>
        <w:spacing w:line="480" w:lineRule="auto"/>
        <w:jc w:val="center"/>
        <w:rPr>
          <w:rFonts w:ascii="Times New Roman" w:hAnsi="Times New Roman" w:cs="Times New Roman"/>
          <w:sz w:val="24"/>
          <w:szCs w:val="24"/>
        </w:rPr>
      </w:pPr>
    </w:p>
    <w:p w:rsidR="00B76FCD" w:rsidRPr="00BE1D91" w:rsidRDefault="00B76FCD" w:rsidP="00BE1D91">
      <w:pPr>
        <w:spacing w:line="480" w:lineRule="auto"/>
        <w:jc w:val="center"/>
        <w:rPr>
          <w:rFonts w:ascii="Times New Roman" w:hAnsi="Times New Roman" w:cs="Times New Roman"/>
          <w:sz w:val="24"/>
          <w:szCs w:val="24"/>
        </w:rPr>
      </w:pPr>
    </w:p>
    <w:p w:rsidR="00B76FCD" w:rsidRDefault="00B76FCD" w:rsidP="00BE1D91">
      <w:pPr>
        <w:spacing w:line="480" w:lineRule="auto"/>
        <w:jc w:val="center"/>
        <w:rPr>
          <w:rFonts w:ascii="Times New Roman" w:hAnsi="Times New Roman" w:cs="Times New Roman"/>
          <w:sz w:val="24"/>
          <w:szCs w:val="24"/>
        </w:rPr>
      </w:pPr>
    </w:p>
    <w:p w:rsidR="00BE1D91" w:rsidRDefault="00BE1D91" w:rsidP="00F8458C">
      <w:pPr>
        <w:spacing w:line="480" w:lineRule="auto"/>
        <w:rPr>
          <w:rFonts w:ascii="Times New Roman" w:hAnsi="Times New Roman" w:cs="Times New Roman"/>
          <w:sz w:val="24"/>
          <w:szCs w:val="24"/>
        </w:rPr>
      </w:pPr>
    </w:p>
    <w:p w:rsidR="00BE1D91" w:rsidRPr="00BE1D91" w:rsidRDefault="00BE1D91" w:rsidP="00BE1D91">
      <w:pPr>
        <w:spacing w:line="480" w:lineRule="auto"/>
        <w:jc w:val="center"/>
        <w:rPr>
          <w:rFonts w:ascii="Times New Roman" w:hAnsi="Times New Roman" w:cs="Times New Roman"/>
          <w:sz w:val="24"/>
          <w:szCs w:val="24"/>
        </w:rPr>
      </w:pPr>
    </w:p>
    <w:p w:rsidR="00B76FCD" w:rsidRPr="00BE1D91" w:rsidRDefault="00B76FCD" w:rsidP="00BE1D91">
      <w:pPr>
        <w:spacing w:line="480" w:lineRule="auto"/>
        <w:jc w:val="center"/>
        <w:rPr>
          <w:rFonts w:ascii="Times New Roman" w:hAnsi="Times New Roman" w:cs="Times New Roman"/>
          <w:sz w:val="24"/>
          <w:szCs w:val="24"/>
        </w:rPr>
      </w:pPr>
      <w:r w:rsidRPr="00BE1D91">
        <w:rPr>
          <w:rFonts w:ascii="Times New Roman" w:hAnsi="Times New Roman" w:cs="Times New Roman"/>
          <w:sz w:val="24"/>
          <w:szCs w:val="24"/>
        </w:rPr>
        <w:t>Course</w:t>
      </w:r>
    </w:p>
    <w:p w:rsidR="00B76FCD" w:rsidRPr="00BE1D91" w:rsidRDefault="00B76FCD" w:rsidP="00BE1D91">
      <w:pPr>
        <w:spacing w:line="480" w:lineRule="auto"/>
        <w:jc w:val="center"/>
        <w:rPr>
          <w:rFonts w:ascii="Times New Roman" w:hAnsi="Times New Roman" w:cs="Times New Roman"/>
          <w:sz w:val="24"/>
          <w:szCs w:val="24"/>
        </w:rPr>
      </w:pPr>
      <w:r w:rsidRPr="00BE1D91">
        <w:rPr>
          <w:rFonts w:ascii="Times New Roman" w:hAnsi="Times New Roman" w:cs="Times New Roman"/>
          <w:sz w:val="24"/>
          <w:szCs w:val="24"/>
        </w:rPr>
        <w:t>Instructor</w:t>
      </w:r>
    </w:p>
    <w:p w:rsidR="00B76FCD" w:rsidRPr="00BE1D91" w:rsidRDefault="00B76FCD" w:rsidP="00BE1D91">
      <w:pPr>
        <w:spacing w:line="480" w:lineRule="auto"/>
        <w:jc w:val="center"/>
        <w:rPr>
          <w:rFonts w:ascii="Times New Roman" w:hAnsi="Times New Roman" w:cs="Times New Roman"/>
          <w:sz w:val="24"/>
          <w:szCs w:val="24"/>
        </w:rPr>
      </w:pPr>
      <w:r w:rsidRPr="00BE1D91">
        <w:rPr>
          <w:rFonts w:ascii="Times New Roman" w:hAnsi="Times New Roman" w:cs="Times New Roman"/>
          <w:sz w:val="24"/>
          <w:szCs w:val="24"/>
        </w:rPr>
        <w:t>Location</w:t>
      </w:r>
    </w:p>
    <w:p w:rsidR="00B76FCD" w:rsidRPr="00BE1D91" w:rsidRDefault="00B76FCD" w:rsidP="00BE1D91">
      <w:pPr>
        <w:spacing w:line="480" w:lineRule="auto"/>
        <w:jc w:val="center"/>
        <w:rPr>
          <w:rFonts w:ascii="Times New Roman" w:hAnsi="Times New Roman" w:cs="Times New Roman"/>
          <w:sz w:val="24"/>
          <w:szCs w:val="24"/>
        </w:rPr>
      </w:pPr>
      <w:r w:rsidRPr="00BE1D91">
        <w:rPr>
          <w:rFonts w:ascii="Times New Roman" w:hAnsi="Times New Roman" w:cs="Times New Roman"/>
          <w:sz w:val="24"/>
          <w:szCs w:val="24"/>
        </w:rPr>
        <w:t>Institution</w:t>
      </w:r>
    </w:p>
    <w:p w:rsidR="00B76FCD" w:rsidRPr="00BE1D91" w:rsidRDefault="00B76FCD" w:rsidP="00BE1D91">
      <w:pPr>
        <w:spacing w:line="480" w:lineRule="auto"/>
        <w:jc w:val="center"/>
        <w:rPr>
          <w:rFonts w:ascii="Times New Roman" w:hAnsi="Times New Roman" w:cs="Times New Roman"/>
          <w:sz w:val="24"/>
          <w:szCs w:val="24"/>
        </w:rPr>
      </w:pPr>
    </w:p>
    <w:p w:rsidR="00BE1D91" w:rsidRDefault="00B76FCD" w:rsidP="00BE1D91">
      <w:pPr>
        <w:spacing w:line="480" w:lineRule="auto"/>
        <w:jc w:val="center"/>
        <w:rPr>
          <w:rFonts w:ascii="Times New Roman" w:hAnsi="Times New Roman" w:cs="Times New Roman"/>
          <w:sz w:val="24"/>
          <w:szCs w:val="24"/>
        </w:rPr>
      </w:pPr>
      <w:r w:rsidRPr="00BE1D91">
        <w:rPr>
          <w:rFonts w:ascii="Times New Roman" w:hAnsi="Times New Roman" w:cs="Times New Roman"/>
          <w:sz w:val="24"/>
          <w:szCs w:val="24"/>
        </w:rPr>
        <w:t>Date</w:t>
      </w:r>
    </w:p>
    <w:p w:rsidR="00BE1D91" w:rsidRPr="00BE1D91" w:rsidRDefault="00BE1D91" w:rsidP="00BE1D91">
      <w:pPr>
        <w:spacing w:line="480" w:lineRule="auto"/>
        <w:jc w:val="center"/>
        <w:rPr>
          <w:rFonts w:ascii="Times New Roman" w:hAnsi="Times New Roman" w:cs="Times New Roman"/>
          <w:sz w:val="24"/>
          <w:szCs w:val="24"/>
        </w:rPr>
      </w:pP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lastRenderedPageBreak/>
        <w:t>Abstract.</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Tobacco consumption remains the solitary greatest cause of unnecessary deaths in the world. Although much has been accomplished in tobacco control policy, millions of people have perished globally increased Tobacco epidemic in various countries of the world. A lot of control has been put in place to address the use of cigarettes by mature males. Currently, tobacco use has permanently deviated its orientation towards other tobacco forms which are highly consumed by women and young people. According to the World Health Organization report, Tobacco epidemic attributed 4.5million deaths every year. The trend is likely to shoot to 9 million by the year 2025, with 70% accounting to the Gulf Region (Chaloupka et al., 2012, p.172. In the recent years, tobacco consumption has become a major threat in the Gulf States where the prevalence of tobacco consumption amongst young people in the region has increased to 21.9%. In the UAE 14.5% of male youths, 25% of the male adults, 2% of adult females and 3% of young females are currently tobacco consumers. As a result of increased advertisements and public exposure both in public and at households, the population of cigarette smokers is likely to grow systematically in the future.</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The research seeks to address the emerging literature in the recent days which guarantees anxiety for the widespread consumption, the resulting health problems as well as challenges in tobacco consumption control. Studies have indicated that cigarettes use brings about higher nicotine levels, health complexities and other hazards that a formidable number of youths lack basic experience. Despite this, many of them have a false impression that tobacco consumption will possibly nourish their image thereby making them popular and attractive as well. In this regard, the World Health Organization has established a monitoring framework which aims to eradicate tobacco consumption by 30% in 2025. This includes regulating all forms of cigarette </w:t>
      </w:r>
      <w:r w:rsidRPr="00BE1D91">
        <w:rPr>
          <w:rFonts w:ascii="Times New Roman" w:hAnsi="Times New Roman" w:cs="Times New Roman"/>
          <w:sz w:val="24"/>
          <w:szCs w:val="24"/>
        </w:rPr>
        <w:lastRenderedPageBreak/>
        <w:t>smoking, the immediate tools at our disposals, the negligible evidence available and non-cigarette tobacco consumption (Gass&amp; Tiffany, 2017, p. 276). Precise information concerning the prevalence and types of tobacco consumption is very essential to provide effective public health policy. The outcome of this survey depicts the pressing need to take abrupt measures to regulate the tobacco epidemic and therefore mitigate the challenge of tobacco-related diseases. The research will address the pervasiveness and types of tobacco consumption in the Gulf Region.</w:t>
      </w:r>
    </w:p>
    <w:p w:rsidR="00C84134" w:rsidRPr="00BE1D91" w:rsidRDefault="00C84134" w:rsidP="00BE1D91">
      <w:pPr>
        <w:spacing w:line="480" w:lineRule="auto"/>
        <w:rPr>
          <w:rFonts w:ascii="Times New Roman" w:hAnsi="Times New Roman" w:cs="Times New Roman"/>
          <w:sz w:val="24"/>
          <w:szCs w:val="24"/>
        </w:rPr>
      </w:pPr>
      <w:r w:rsidRPr="00BE1D91">
        <w:rPr>
          <w:rFonts w:ascii="Times New Roman" w:hAnsi="Times New Roman" w:cs="Times New Roman"/>
          <w:b/>
          <w:sz w:val="24"/>
          <w:szCs w:val="24"/>
        </w:rPr>
        <w:t>Keywords:</w:t>
      </w:r>
      <w:r w:rsidRPr="00BE1D91">
        <w:rPr>
          <w:rFonts w:ascii="Times New Roman" w:hAnsi="Times New Roman" w:cs="Times New Roman"/>
          <w:sz w:val="24"/>
          <w:szCs w:val="24"/>
        </w:rPr>
        <w:t xml:space="preserve"> Public Policy, Health Complexities, Non-Cigarette Tobacco Products, Global Health, Prevalence.</w:t>
      </w: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t>Aims and Objectives.</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The study aims to address the following issues: Types of tobacco consumption, Levels of tobacco consumption, Estimate on the age of introduction to cigarette use, Estimate levels of susceptibility to become a cigarettes smoker, analyze the exposure to tobacco advertising. It will also determine key interference variables; beliefs and attributes on behavioral norms in relation with tobacco consumption among young generations and evaluating the range to which major prevention programs are reaching populations and develop subjective opinions of these populaces concerning such interventions.</w:t>
      </w:r>
    </w:p>
    <w:p w:rsidR="00BE1D91" w:rsidRDefault="00BE1D91" w:rsidP="00BE1D91">
      <w:pPr>
        <w:spacing w:line="480" w:lineRule="auto"/>
        <w:jc w:val="center"/>
        <w:rPr>
          <w:rFonts w:ascii="Times New Roman" w:hAnsi="Times New Roman" w:cs="Times New Roman"/>
          <w:b/>
          <w:sz w:val="24"/>
          <w:szCs w:val="24"/>
        </w:rPr>
      </w:pPr>
    </w:p>
    <w:p w:rsidR="00BE1D91" w:rsidRDefault="00BE1D91" w:rsidP="00BE1D91">
      <w:pPr>
        <w:spacing w:line="480" w:lineRule="auto"/>
        <w:jc w:val="center"/>
        <w:rPr>
          <w:rFonts w:ascii="Times New Roman" w:hAnsi="Times New Roman" w:cs="Times New Roman"/>
          <w:b/>
          <w:sz w:val="24"/>
          <w:szCs w:val="24"/>
        </w:rPr>
      </w:pPr>
    </w:p>
    <w:p w:rsidR="00BE1D91" w:rsidRDefault="00BE1D91" w:rsidP="00BE1D91">
      <w:pPr>
        <w:spacing w:line="480" w:lineRule="auto"/>
        <w:jc w:val="center"/>
        <w:rPr>
          <w:rFonts w:ascii="Times New Roman" w:hAnsi="Times New Roman" w:cs="Times New Roman"/>
          <w:b/>
          <w:sz w:val="24"/>
          <w:szCs w:val="24"/>
        </w:rPr>
      </w:pPr>
    </w:p>
    <w:p w:rsidR="00BE1D91" w:rsidRDefault="00BE1D91" w:rsidP="00BE1D91">
      <w:pPr>
        <w:spacing w:line="480" w:lineRule="auto"/>
        <w:jc w:val="center"/>
        <w:rPr>
          <w:rFonts w:ascii="Times New Roman" w:hAnsi="Times New Roman" w:cs="Times New Roman"/>
          <w:b/>
          <w:sz w:val="24"/>
          <w:szCs w:val="24"/>
        </w:rPr>
      </w:pP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lastRenderedPageBreak/>
        <w:t>Introduction.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In the recent years, tobacco consumption has come up as the most devastating cause of preventable death in the modern world, claiming approximately 6 million deaths yearly. This is expected to increase to 9 million deaths per year by year 2025.It is a threatening factor associated with deadly diseases, such as stroke, cardiovascular disease, and a large number of cancers among other lingering respiratory diseases. Manufactured cigarettes are the most prominent type of tobacco consumed globally, with the greatest proportion coming from the Gulf Region.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From historical point of view, tobacco was initiated to the Arab world in more than five centuries ago. Its consumption has rapidly increased in the recent 50 years due to affordability and convenience of manufactured cigarettes. Adult male smoking rates in Gulf Region are among the highest in the world and has a pervasiveness of up to 78%.  Tobacco consumption is still taking its route in women in the Arab world (Gass&amp; Tiffany, 2017, p. 276). Moreover, other forms of tobacco consumption are also predominant in the Gulf Region, more so consumption of shisha which has rapidly increased in the last 20 years. This implies that, in the coming years, the region will experience increased tobacco consumption levels thus escalating tobacco-caused disease and mortality. Despite the growing intervals of tobacco consumption in Gulf Region, tobacco widespread in the societies receives less concern at the policy and public health levels. Besides, the regional tobacco investigation in the Gulf Region is poorly coordinated with the collected data being used inappropriately by the nations in the endeavor to mitigate tobacco disastrous effects. For instance, many countries in the Gulf Region are active participants in the World Tobacco Surveillance System, but only a few of them use this data to suitably plan and prioritize tobacco regulation initiatives.</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lastRenderedPageBreak/>
        <w:t>In essence, accessible information from Gulf Region outlines three major trends in tobacco consumption increase; the high pervasiveness of cigarette smoking amidst Arab men as compared to women. The increased use of waterpipe smoking as a common tobacco consumption method and the disappointment of control policy in providing a sufficient reaction against tobacco pandemic (Albeshan et al., 2017). In this review, we conducted a detailed investigation on these trends, factors leading to skyrocketing tobacco consumption, devastating effects of tobacco consumption, challenges facing tobacco control as well as the recommendations for tobacco control in this troubled region.</w:t>
      </w: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t>Literature review.</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Researchers have underscored that tobacco consumption is the most upcoming global threat that needs to be uprooted with immediate effect and more so in the Gulf Region. As such, it is the greatest cause of human morbidity and mortality claiming approximately 6 million lives yearly. Tobacco epidemic is trending hence the worst of it is expected by the year 2025 if and only if effective control measures will not be staged against tobacco use. Many scholars have confirmed that tobacco smoking is an immediate cause of lung cancer and hence anti-tobacco protesters have developed to counter the blow of the tobacco industry in Gulf Region (Akl et al., 2014, p. 244). Many controls have been recommended and measures put in place to regulate cigarette smoking among the Gulf Region nations by joining the Framework Convention on Tobacco Control (FCTC) Treaty with support from numerous organizations.</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While this control measures are being accomplished, mitigating growing tobacco consumption in males, tobacco consumption has deviated its direction to youths and women in the region. As such, the tobacco industry has ceased from producing cigarettes to other stealthy forms of tobacco which are more pleasing to the non-smoking segments of the Gulf population. </w:t>
      </w:r>
      <w:r w:rsidRPr="00BE1D91">
        <w:rPr>
          <w:rFonts w:ascii="Times New Roman" w:hAnsi="Times New Roman" w:cs="Times New Roman"/>
          <w:sz w:val="24"/>
          <w:szCs w:val="24"/>
        </w:rPr>
        <w:lastRenderedPageBreak/>
        <w:t xml:space="preserve">The newly initiated forms of tobacco in the region now includes the bidis (a thin cigarette enfolded in tendu leaf), pan (masticated betel quid with tobacco), clove cigarettes, the middle east waterpipe also known as shisha. Above all, the most recent form of tobacco in the Gulf Region is dokha whose use has risen rapidly (Stewart &amp; Wild, 2017). It is a powdered tobacco which is burnt with one or else two inhalations in small pipes. Technically, dokha is made by combining dry tobacco leaves with a variety of herbs, barks, dried flowers, spices and other uncorroborated substances like shoe polish. Studies have shown that dokha was originally used in Iran during the 15th century. It accessed widespread amidst sailors along the Caspian Sea who led to its initiation into the Gulf Region in the 1550s. From a historical perspective, use of dokha deteriorated until it was re-introduced into the market ten years ago in the Gulf Region. The rapid increase in the use of dokha and midwakh is of specific concern since its rapidity uptakes as well as the capacities to appeal to the young adults. Scholars have observed that 25% of male high school students and college students in the Gulf Region predominantly consume midwakh on a daily basis. </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 According to Albeshan et al. ( 2017), the World Health Organization surveys, it has reported that use of midwakh is also in its trend. Moreover, a revival of some segments of Gulf countries culture, midwakh is more appealing and acceptable to the populations than cigarettes. Reasonably, use of midwakh among college students is as a result of its strong sensation of light-headedness, lack of lip staining, low cost, and odorless which is not common to other forms of tobacco. This features makes it more attractive to adolescents who have limited access to money and appeals to their desires of trends and personal appearance. Besides the increased midwakh consumption in the Gulf Region, many Europeans and Northern American websites have emerged as potential markets for smoking, commonly to youth and adolescents. Also, scholars </w:t>
      </w:r>
      <w:r w:rsidRPr="00BE1D91">
        <w:rPr>
          <w:rFonts w:ascii="Times New Roman" w:hAnsi="Times New Roman" w:cs="Times New Roman"/>
          <w:sz w:val="24"/>
          <w:szCs w:val="24"/>
        </w:rPr>
        <w:lastRenderedPageBreak/>
        <w:t>have identified that midwakh may emerge in western European countries amongst youths of diverse cultures resulting from increased midwakh and Dokha selling via websites.</w:t>
      </w:r>
    </w:p>
    <w:p w:rsid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Evidently, midwakh consumption precedes that of cigarette in the sense that the mean onset age for midwakh consumption is less than of cigarettes. This implies that there are greater chances for midwakh dominating tobacco market through introducing young non-smokers to use of tobacco at their young ages. This guarantees greater markets for midwakh shortly and cigarettes later on. To this extent, very little is determined about devastating health effects of midwakh and Dokha use. Comparatively, midwakh is used in two inhalations for a few seconds while cigarettes take few minutes. </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Midwakh levels of nicotine, conversed by the addictive components of explosive tobacco products, used in over the sequence of few seconds are higher compared to levels used over the course of some minutes per cigarette. Since there is no substantive evidence, it has always remained an assumption that midwakh consumers may have higher chances of addiction than cigar smokers, as it has been reported that, the majority of midwakh smokers wake up regularly to smoke, a rare case with cigarette smokers. Nevertheless, the short-term physiological results of midwakh are comparable to those of cigarette consumption with similar increases in respiratory rate, heart rates as well as increased blood pressure resulting from midwakh use. Researchers have also established that annexations are short-term consequences of midwakh use because of high nicotine concentrations and intake. Midwakh long-term health challenges on lung conditions, cancer, cerebrovascular and cardiovascular disease have remained unstudied (Vupputuri et al., 2016, p. 236).</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According to Stewart &amp; Wild (2017), tobacco regulation efforts in the Gulf Region and other parts of the world draws more attention on restricting cigarette use through media </w:t>
      </w:r>
      <w:r w:rsidRPr="00BE1D91">
        <w:rPr>
          <w:rFonts w:ascii="Times New Roman" w:hAnsi="Times New Roman" w:cs="Times New Roman"/>
          <w:sz w:val="24"/>
          <w:szCs w:val="24"/>
        </w:rPr>
        <w:lastRenderedPageBreak/>
        <w:t>campaigns, banning tobacco use in public as well as smoking cessation teachings of health. Fewer efforts have been made to curb the dangerous risks of increased consumption of other non-cigarette types of tobacco consumption.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Policy measures of tobacco regulation are the backbone of tobacco termination endeavors although they are readily avoided by midwakh consumers. For instance, the United Arab Emirates was the first Gulf country to illegalize public smoking. On the other hand, midwakh has been increasingly used in public despite the smoking ban since it has low possibilities of detection resulting from odorless and shorter periods of inhalation. Other important tobacco control policies remain sophisticated to implement for midwakh and dokha consumption. Currently, Dokha has increased, and it is sold locally in Gulf countries such as UAE, Iran, and Oman, thereby threatening implementation of tobacco control measures on taxation and pricing.  As such, Dokha cost less than cigarettes; it has a weekly supply average of $4USD while cigarette accounts $25USD for any cigarette smoker. More often, midwakh waterpipes can be borrowed from tobacconist shops for use at a comparatively low cost. Thus smokers do not need to necessarily buy one. Besides, Dokha is marketed loose, in weight and unpackaged quantities hence control measures of packaging and silencing are less applicable. Lack of automatic smoking detection devices to undertake cotinine tests and carbon monoxide sniff tests to identify midwakh users, and passive smokers also hampers this prevention measure. In this regard, very little has been attained to regulate tobacco consumption.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While the tobacco controller sector moves forward to coincide with WHO targets of around 32% comparative eradication of tobacco consumption by the year 2025. It is skeptical that newer tobacco pandemics may emerge in other forms which are more female and adolescents friendly than ever before  (Haldorsen et al., 2017, p. 160). According to the WHO </w:t>
      </w:r>
      <w:r w:rsidRPr="00BE1D91">
        <w:rPr>
          <w:rFonts w:ascii="Times New Roman" w:hAnsi="Times New Roman" w:cs="Times New Roman"/>
          <w:sz w:val="24"/>
          <w:szCs w:val="24"/>
        </w:rPr>
        <w:lastRenderedPageBreak/>
        <w:t>policy, 32% entails all forms of tobacco consumption, the vast majority of the existing tools at our disposal for anticipation, as well as detection and treatment of smoking, which were established to control cigarette use and are not effective in addressing non-cigarette tobacco consumption.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It is more than 50 years when tobacco was declared devastating health effects, but the movement in tobacco control has taken long, and perhaps it demands a transformation in direction.  The control measures should be focused on tobacco consumption relatively than addressing dual issues regarding tobacco consumption of addiction from nicotine and devastating health challenges of components like tar.</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A diversified measure that aims in tackling complexities in reversing the infatuation to nicotine associated with adult smokers as well as preventing the emerging onset of tobacco use addiction through an initiation of some smoking women and children has been put in place. Some of the Gulf Region countries have deliberately coupled up through the Gulf Cooperation Council (GCC) hence taking a bold move of abolishing tobacco products and total ban of waterpipe sale although this has been challenged by cohort purchases, advocates of civil rights opinions and increased confrontation by the tobacco industry.</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From the literature review, it is open-ended that tobacco consumption is detrimental to human health and wellness of a nation too. Thus strong tobacco control measures should be put in place to fight against tobacco. Perhaps, these efforts will be effective only if they will completely ban all forms of tobacco consumption in the region. With the drastic advent of new types of tobacco consumption, alike rapid control measures should be staged to counter the effects. Therefore, it is the high time when policymakers, as well as the entire tobacco industry, </w:t>
      </w:r>
      <w:r w:rsidRPr="00BE1D91">
        <w:rPr>
          <w:rFonts w:ascii="Times New Roman" w:hAnsi="Times New Roman" w:cs="Times New Roman"/>
          <w:sz w:val="24"/>
          <w:szCs w:val="24"/>
        </w:rPr>
        <w:lastRenderedPageBreak/>
        <w:t xml:space="preserve">should recognize the challenges associated with the new forms of tobacco usage and gang-up efforts to enhance all appropriate tobacco control mechanisms. </w:t>
      </w: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t>Methodology.</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Primarily, we used secondary data from WHO, the Saudi Ministry of Health and other relevant data from other health organization in the Gulf Cooperation Council (GCC). In this regard, we reviewed information on types of tobacco consumption, the tobacco control policies and challenges encountered when implementing these policies in the Gulf Region. I cross checked this from the corresponding country profile as outlined in WHO health report concerning global tobacco pandemics. Also, we utilized firsthand information from the respective country ministry of health reports to access national commitment while comparing the extent of significance that each tobacco control policy exerts to this matter.</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Besides the above investigation, the original research was sanctioned by the Gulf Region Medical Human Research Committee. A written approval was acquired by qualified nursing staff following the principles of the Gulf Region Medical Research Council which harmonizes human health research in Gulf Region. The research was randomly conducted in various individual countries. A blood program screening was conducted in UAE citizens aged 18 years and above connected to the provision of comprehensive health insurance plan. The study incorporated all Emiratis who were initially screened during the 2010-2014 period. Besides this, other critical screening programs were conducted in Iran, Iraq, and Oman to affirm the validity of the results.</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Besides, we conducted detailed interviews of college students aged 15 to 22 years from 20 universities in the Gulf Region. All respondents showed willingness and agreed to partake in the entire study. A similar interview was subjected to legal guardians of each respond as well. </w:t>
      </w:r>
      <w:r w:rsidRPr="00BE1D91">
        <w:rPr>
          <w:rFonts w:ascii="Times New Roman" w:hAnsi="Times New Roman" w:cs="Times New Roman"/>
          <w:sz w:val="24"/>
          <w:szCs w:val="24"/>
        </w:rPr>
        <w:lastRenderedPageBreak/>
        <w:t>Other populations of adult men and woman were also cross-examined. The research entailed questions on tobacco consumption, socio-demographic features, diet, health care utilization, physical activity as well as self-reported lingering conditions. Tobacco smoking status was evaluated by use of 15 critical questions. Addicted smokers were evaluated using by questioning partakers about using any tobacco products, like cigars/pipes, shisha, Dokha or cigarettes. To determine current smoking, interviewees were asked about any current use, or daily smoking of tobacco produces. All smokers were also interviewed on the amount and types of tobacco they consume. Apparently, smokers in the cohort were interrogated on their age when they became addicted to smoking, their willingness for quitting the habits and if they have ever received psychological advice to help quit smoking in the past one year (Hickling et al., 2017, p. 530).</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Despite this, the interview was also formulated to identify smokeless tobacco status by asking of any current or ever use of smokeless tobacco yields, like chewing tobacco, snuff tobacco, Medwakh or Swaika as well as duration and quantity consumed. To investigate exposure to passive smoke, interviewees were questioned how often in the past seven days they have come across someone smoking in their households while presence.</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Moreover, measured weight (kg) and height (meters) were applied to determine respondents Body Mass Index (BMI). This categorized the groups into three, that is, the underweight, normal weight and overweight/obese. A questionnaire was then used to categorize respondents into four groups of bodily activities, such as, those who encountered vigorous physical activities, moderate physical activities, insufficient physical activities to attain moderate or vigorous levels and those who had not encountered physical activity. In this regard, we used minimal physical activities to analyze the results against other groups. Feeding habits were also captured through a thorough dietary questionnaire to account for average daily servings. The </w:t>
      </w:r>
      <w:r w:rsidRPr="00BE1D91">
        <w:rPr>
          <w:rFonts w:ascii="Times New Roman" w:hAnsi="Times New Roman" w:cs="Times New Roman"/>
          <w:sz w:val="24"/>
          <w:szCs w:val="24"/>
        </w:rPr>
        <w:lastRenderedPageBreak/>
        <w:t>respondents were asked to evaluate and rate their health in contrast with their status 12 months ago as worse, better or the same.</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To investigate diagnosed diabetes, hypercholesterolemia and hypertension, participants were subjected to different questionnaires to comprehend whether health professionals have ever informed them that they had diabetes mellitus, pre-diabetes mellitus, hypertension or even hypercholesterolemia. Women identified with hypertension or diabetes during gestation were not considered as having this conditions. Also, the same questions were used to define the diagnosis of myocardial infarction, cardiac arrest, stroke, asthma, cancer, renal failure among others. We valued to be detected with a lingering condition if they indicated being diagnosed with any of the above conditions (Gass&amp; Tiffany, 2017, p. 276). To this extent, we applied backward elimination multivariate unconditional logistic regression ideal to assess connotation amid the outcome variables of current smoking, current daily shisha consumption, chronic smoking addiction together with a successful endeavor to abandon smoking and covariates. Moreover</w:t>
      </w:r>
      <w:r w:rsidR="00BE1D91" w:rsidRPr="00BE1D91">
        <w:rPr>
          <w:rFonts w:ascii="Times New Roman" w:hAnsi="Times New Roman" w:cs="Times New Roman"/>
          <w:sz w:val="24"/>
          <w:szCs w:val="24"/>
        </w:rPr>
        <w:t>, gender</w:t>
      </w:r>
      <w:r w:rsidRPr="00BE1D91">
        <w:rPr>
          <w:rFonts w:ascii="Times New Roman" w:hAnsi="Times New Roman" w:cs="Times New Roman"/>
          <w:sz w:val="24"/>
          <w:szCs w:val="24"/>
        </w:rPr>
        <w:t xml:space="preserve">, marital status, education, age, self-rated health, diet, physical activities and reported chronic activities were analyzed. </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Out of 11,000 completed interviews, sex and age data was similar although we neglected 30 observations for missing smoking status, 130 explanations for missing shisha use, 250 for lacking self –reported hypercholesterolemia conditions and diabetes. Also 32 for not reporting other deadly conditions, 212 for not taking vegetables and fruits, 30 for missing educational level and 33 for undesirable marital status. Only 10,283 annotations were used in our regression analysis.</w:t>
      </w:r>
    </w:p>
    <w:p w:rsidR="00BE1D91" w:rsidRDefault="00BE1D91" w:rsidP="00BE1D91">
      <w:pPr>
        <w:spacing w:line="480" w:lineRule="auto"/>
        <w:jc w:val="center"/>
        <w:rPr>
          <w:rFonts w:ascii="Times New Roman" w:hAnsi="Times New Roman" w:cs="Times New Roman"/>
          <w:b/>
          <w:sz w:val="24"/>
          <w:szCs w:val="24"/>
        </w:rPr>
      </w:pP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lastRenderedPageBreak/>
        <w:t>Data collection.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The study was conducted with immediate collaboration with various ministries of health in Gulf Region, the ministry of education and young adults who played a vital role in the success of the study. Various ministries of education granted a free hand to researchers to identify a sample population (cohort) which could suitably help us in extracting most relevant information. Moreover, the ministry of health in UAE played its role by helping selecting, training and supervising the entire research team. Ten research teams were established with the respective coordinator, and each group was entitled to a minimum of five types of research in a respective country. Accordingly, all team members reported back to their national coordinator daily and sought for assistance for logistics, none response cases, and job completion. Training workshop was conducted to briefing all researchers and supervisors. All partakers were instructed on delivery and collection of all assessment documentation forms, answer sheets and questionnaires.</w:t>
      </w: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t>Results and findings.</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A survey of 11,000 households was conducted, and 10,283 respondents completed the questionnaire attaining a response rate of 89.7%. Features of respondents who completed the survey in the Gulf Region are presented in the figure below.</w:t>
      </w:r>
    </w:p>
    <w:p w:rsidR="00C84134" w:rsidRPr="00BE1D91" w:rsidRDefault="00C84134" w:rsidP="00BE1D91">
      <w:pPr>
        <w:spacing w:line="480" w:lineRule="auto"/>
        <w:ind w:firstLine="720"/>
        <w:rPr>
          <w:rFonts w:ascii="Times New Roman" w:hAnsi="Times New Roman" w:cs="Times New Roman"/>
          <w:sz w:val="24"/>
          <w:szCs w:val="24"/>
        </w:rPr>
      </w:pPr>
    </w:p>
    <w:p w:rsidR="00BE1D91" w:rsidRDefault="00BE1D91" w:rsidP="00BE1D91">
      <w:pPr>
        <w:spacing w:line="480" w:lineRule="auto"/>
        <w:rPr>
          <w:rFonts w:ascii="Times New Roman" w:hAnsi="Times New Roman" w:cs="Times New Roman"/>
          <w:b/>
          <w:sz w:val="24"/>
          <w:szCs w:val="24"/>
        </w:rPr>
      </w:pPr>
    </w:p>
    <w:p w:rsidR="00BE1D91" w:rsidRDefault="00BE1D91" w:rsidP="00BE1D91">
      <w:pPr>
        <w:spacing w:line="480" w:lineRule="auto"/>
        <w:rPr>
          <w:rFonts w:ascii="Times New Roman" w:hAnsi="Times New Roman" w:cs="Times New Roman"/>
          <w:b/>
          <w:sz w:val="24"/>
          <w:szCs w:val="24"/>
        </w:rPr>
      </w:pPr>
    </w:p>
    <w:p w:rsidR="00BE1D91" w:rsidRDefault="00BE1D91" w:rsidP="00BE1D91">
      <w:pPr>
        <w:spacing w:line="480" w:lineRule="auto"/>
        <w:rPr>
          <w:rFonts w:ascii="Times New Roman" w:hAnsi="Times New Roman" w:cs="Times New Roman"/>
          <w:b/>
          <w:sz w:val="24"/>
          <w:szCs w:val="24"/>
        </w:rPr>
      </w:pPr>
    </w:p>
    <w:p w:rsidR="00BE1D91" w:rsidRPr="00BE1D91" w:rsidRDefault="00C84134" w:rsidP="00BE1D91">
      <w:pPr>
        <w:spacing w:line="480" w:lineRule="auto"/>
        <w:jc w:val="center"/>
        <w:rPr>
          <w:rFonts w:ascii="Times New Roman" w:hAnsi="Times New Roman" w:cs="Times New Roman"/>
          <w:sz w:val="24"/>
          <w:szCs w:val="24"/>
        </w:rPr>
      </w:pPr>
      <w:r w:rsidRPr="00BE1D91">
        <w:rPr>
          <w:rFonts w:ascii="Times New Roman" w:hAnsi="Times New Roman" w:cs="Times New Roman"/>
          <w:b/>
          <w:sz w:val="24"/>
          <w:szCs w:val="24"/>
        </w:rPr>
        <w:lastRenderedPageBreak/>
        <w:t>Smoking status in the Gulf Region by socio-demographic and designated health effects in 2017.</w:t>
      </w:r>
    </w:p>
    <w:tbl>
      <w:tblPr>
        <w:tblStyle w:val="TableGrid"/>
        <w:tblW w:w="11397" w:type="dxa"/>
        <w:tblInd w:w="-1175" w:type="dxa"/>
        <w:tblLayout w:type="fixed"/>
        <w:tblLook w:val="0000"/>
      </w:tblPr>
      <w:tblGrid>
        <w:gridCol w:w="1075"/>
        <w:gridCol w:w="1505"/>
        <w:gridCol w:w="860"/>
        <w:gridCol w:w="967"/>
        <w:gridCol w:w="1076"/>
        <w:gridCol w:w="860"/>
        <w:gridCol w:w="1182"/>
        <w:gridCol w:w="969"/>
        <w:gridCol w:w="914"/>
        <w:gridCol w:w="985"/>
        <w:gridCol w:w="1004"/>
      </w:tblGrid>
      <w:tr w:rsidR="00BE1D91" w:rsidRPr="00BE1D91" w:rsidTr="00BE1D91">
        <w:trPr>
          <w:trHeight w:val="775"/>
        </w:trPr>
        <w:tc>
          <w:tcPr>
            <w:tcW w:w="1075" w:type="dxa"/>
          </w:tcPr>
          <w:p w:rsidR="00BE1D91" w:rsidRPr="00BE1D91" w:rsidRDefault="00BE1D91" w:rsidP="00BE1D91">
            <w:pPr>
              <w:spacing w:after="160" w:line="480" w:lineRule="auto"/>
              <w:rPr>
                <w:rFonts w:ascii="Times New Roman" w:hAnsi="Times New Roman" w:cs="Times New Roman"/>
                <w:sz w:val="24"/>
                <w:szCs w:val="24"/>
              </w:rPr>
            </w:pPr>
            <w:r w:rsidRPr="00BE1D91">
              <w:rPr>
                <w:rFonts w:ascii="Times New Roman" w:hAnsi="Times New Roman" w:cs="Times New Roman"/>
                <w:sz w:val="24"/>
                <w:szCs w:val="24"/>
              </w:rPr>
              <w:t>Characteristics</w:t>
            </w:r>
          </w:p>
        </w:tc>
        <w:tc>
          <w:tcPr>
            <w:tcW w:w="150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categories</w:t>
            </w:r>
          </w:p>
          <w:p w:rsidR="00BE1D91" w:rsidRPr="00BE1D91" w:rsidRDefault="00BE1D91" w:rsidP="00BE1D91">
            <w:pPr>
              <w:spacing w:line="480" w:lineRule="auto"/>
              <w:rPr>
                <w:rFonts w:ascii="Times New Roman" w:hAnsi="Times New Roman" w:cs="Times New Roman"/>
                <w:sz w:val="24"/>
                <w:szCs w:val="24"/>
              </w:rPr>
            </w:pPr>
          </w:p>
        </w:tc>
        <w:tc>
          <w:tcPr>
            <w:tcW w:w="2903" w:type="dxa"/>
            <w:gridSpan w:val="3"/>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Former smokers</w:t>
            </w:r>
          </w:p>
        </w:tc>
        <w:tc>
          <w:tcPr>
            <w:tcW w:w="3011" w:type="dxa"/>
            <w:gridSpan w:val="3"/>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Current, non-daily smoking</w:t>
            </w:r>
          </w:p>
        </w:tc>
        <w:tc>
          <w:tcPr>
            <w:tcW w:w="2903" w:type="dxa"/>
            <w:gridSpan w:val="3"/>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Current daily smoking</w:t>
            </w:r>
          </w:p>
        </w:tc>
      </w:tr>
      <w:tr w:rsidR="00BE1D91" w:rsidRPr="00BE1D91" w:rsidTr="00BE1D91">
        <w:tblPrEx>
          <w:tblLook w:val="04A0"/>
        </w:tblPrEx>
        <w:trPr>
          <w:trHeight w:val="504"/>
        </w:trPr>
        <w:tc>
          <w:tcPr>
            <w:tcW w:w="1075" w:type="dxa"/>
          </w:tcPr>
          <w:p w:rsidR="00BE1D91" w:rsidRPr="00BE1D91" w:rsidRDefault="00BE1D91" w:rsidP="00BE1D91">
            <w:pPr>
              <w:spacing w:line="480" w:lineRule="auto"/>
              <w:rPr>
                <w:rFonts w:ascii="Times New Roman" w:hAnsi="Times New Roman" w:cs="Times New Roman"/>
                <w:sz w:val="24"/>
                <w:szCs w:val="24"/>
              </w:rPr>
            </w:pPr>
          </w:p>
        </w:tc>
        <w:tc>
          <w:tcPr>
            <w:tcW w:w="1505" w:type="dxa"/>
          </w:tcPr>
          <w:p w:rsidR="00BE1D91" w:rsidRPr="00BE1D91" w:rsidRDefault="00BE1D91" w:rsidP="00BE1D91">
            <w:pPr>
              <w:spacing w:line="480" w:lineRule="auto"/>
              <w:rPr>
                <w:rFonts w:ascii="Times New Roman" w:hAnsi="Times New Roman" w:cs="Times New Roman"/>
                <w:sz w:val="24"/>
                <w:szCs w:val="24"/>
              </w:rPr>
            </w:pPr>
          </w:p>
        </w:tc>
        <w:tc>
          <w:tcPr>
            <w:tcW w:w="860" w:type="dxa"/>
          </w:tcPr>
          <w:p w:rsidR="00BE1D91" w:rsidRPr="00BE1D91" w:rsidRDefault="00BE1D91" w:rsidP="00BE1D91">
            <w:pPr>
              <w:spacing w:line="480" w:lineRule="auto"/>
              <w:rPr>
                <w:rFonts w:ascii="Times New Roman" w:hAnsi="Times New Roman" w:cs="Times New Roman"/>
                <w:b/>
                <w:sz w:val="24"/>
                <w:szCs w:val="24"/>
              </w:rPr>
            </w:pPr>
            <w:r w:rsidRPr="00BE1D91">
              <w:rPr>
                <w:rFonts w:ascii="Times New Roman" w:hAnsi="Times New Roman" w:cs="Times New Roman"/>
                <w:b/>
                <w:sz w:val="24"/>
                <w:szCs w:val="24"/>
              </w:rPr>
              <w:t>N</w:t>
            </w:r>
          </w:p>
        </w:tc>
        <w:tc>
          <w:tcPr>
            <w:tcW w:w="967" w:type="dxa"/>
          </w:tcPr>
          <w:p w:rsidR="00BE1D91" w:rsidRPr="00BE1D91" w:rsidRDefault="00BE1D91" w:rsidP="00BE1D91">
            <w:pPr>
              <w:spacing w:line="480" w:lineRule="auto"/>
              <w:rPr>
                <w:rFonts w:ascii="Times New Roman" w:hAnsi="Times New Roman" w:cs="Times New Roman"/>
                <w:b/>
                <w:sz w:val="24"/>
                <w:szCs w:val="24"/>
              </w:rPr>
            </w:pPr>
            <w:r w:rsidRPr="00BE1D91">
              <w:rPr>
                <w:rFonts w:ascii="Times New Roman" w:hAnsi="Times New Roman" w:cs="Times New Roman"/>
                <w:b/>
                <w:sz w:val="24"/>
                <w:szCs w:val="24"/>
              </w:rPr>
              <w:t>%</w:t>
            </w:r>
          </w:p>
        </w:tc>
        <w:tc>
          <w:tcPr>
            <w:tcW w:w="1075" w:type="dxa"/>
          </w:tcPr>
          <w:p w:rsidR="00BE1D91" w:rsidRPr="00BE1D91" w:rsidRDefault="00BE1D91" w:rsidP="00BE1D91">
            <w:pPr>
              <w:spacing w:line="480" w:lineRule="auto"/>
              <w:rPr>
                <w:rFonts w:ascii="Times New Roman" w:hAnsi="Times New Roman" w:cs="Times New Roman"/>
                <w:b/>
                <w:sz w:val="24"/>
                <w:szCs w:val="24"/>
              </w:rPr>
            </w:pPr>
            <w:r w:rsidRPr="00BE1D91">
              <w:rPr>
                <w:rFonts w:ascii="Times New Roman" w:hAnsi="Times New Roman" w:cs="Times New Roman"/>
                <w:b/>
                <w:sz w:val="24"/>
                <w:szCs w:val="24"/>
              </w:rPr>
              <w:t>SE</w:t>
            </w:r>
          </w:p>
        </w:tc>
        <w:tc>
          <w:tcPr>
            <w:tcW w:w="860" w:type="dxa"/>
          </w:tcPr>
          <w:p w:rsidR="00BE1D91" w:rsidRPr="00BE1D91" w:rsidRDefault="00BE1D91" w:rsidP="00BE1D91">
            <w:pPr>
              <w:spacing w:line="480" w:lineRule="auto"/>
              <w:rPr>
                <w:rFonts w:ascii="Times New Roman" w:hAnsi="Times New Roman" w:cs="Times New Roman"/>
                <w:b/>
                <w:sz w:val="24"/>
                <w:szCs w:val="24"/>
              </w:rPr>
            </w:pPr>
            <w:r w:rsidRPr="00BE1D91">
              <w:rPr>
                <w:rFonts w:ascii="Times New Roman" w:hAnsi="Times New Roman" w:cs="Times New Roman"/>
                <w:b/>
                <w:sz w:val="24"/>
                <w:szCs w:val="24"/>
              </w:rPr>
              <w:t>N</w:t>
            </w:r>
          </w:p>
        </w:tc>
        <w:tc>
          <w:tcPr>
            <w:tcW w:w="1182" w:type="dxa"/>
          </w:tcPr>
          <w:p w:rsidR="00BE1D91" w:rsidRPr="00BE1D91" w:rsidRDefault="00BE1D91" w:rsidP="00BE1D91">
            <w:pPr>
              <w:spacing w:line="480" w:lineRule="auto"/>
              <w:rPr>
                <w:rFonts w:ascii="Times New Roman" w:hAnsi="Times New Roman" w:cs="Times New Roman"/>
                <w:b/>
                <w:sz w:val="24"/>
                <w:szCs w:val="24"/>
              </w:rPr>
            </w:pPr>
            <w:r w:rsidRPr="00BE1D91">
              <w:rPr>
                <w:rFonts w:ascii="Times New Roman" w:hAnsi="Times New Roman" w:cs="Times New Roman"/>
                <w:b/>
                <w:sz w:val="24"/>
                <w:szCs w:val="24"/>
              </w:rPr>
              <w:t>%</w:t>
            </w:r>
          </w:p>
        </w:tc>
        <w:tc>
          <w:tcPr>
            <w:tcW w:w="967" w:type="dxa"/>
          </w:tcPr>
          <w:p w:rsidR="00BE1D91" w:rsidRPr="00BE1D91" w:rsidRDefault="00BE1D91" w:rsidP="00BE1D91">
            <w:pPr>
              <w:spacing w:line="480" w:lineRule="auto"/>
              <w:rPr>
                <w:rFonts w:ascii="Times New Roman" w:hAnsi="Times New Roman" w:cs="Times New Roman"/>
                <w:b/>
                <w:sz w:val="24"/>
                <w:szCs w:val="24"/>
              </w:rPr>
            </w:pPr>
            <w:r w:rsidRPr="00BE1D91">
              <w:rPr>
                <w:rFonts w:ascii="Times New Roman" w:hAnsi="Times New Roman" w:cs="Times New Roman"/>
                <w:b/>
                <w:sz w:val="24"/>
                <w:szCs w:val="24"/>
              </w:rPr>
              <w:t>SE</w:t>
            </w:r>
          </w:p>
        </w:tc>
        <w:tc>
          <w:tcPr>
            <w:tcW w:w="914" w:type="dxa"/>
          </w:tcPr>
          <w:p w:rsidR="00BE1D91" w:rsidRPr="00BE1D91" w:rsidRDefault="00BE1D91" w:rsidP="00BE1D91">
            <w:pPr>
              <w:spacing w:line="480" w:lineRule="auto"/>
              <w:rPr>
                <w:rFonts w:ascii="Times New Roman" w:hAnsi="Times New Roman" w:cs="Times New Roman"/>
                <w:b/>
                <w:sz w:val="24"/>
                <w:szCs w:val="24"/>
              </w:rPr>
            </w:pPr>
            <w:r w:rsidRPr="00BE1D91">
              <w:rPr>
                <w:rFonts w:ascii="Times New Roman" w:hAnsi="Times New Roman" w:cs="Times New Roman"/>
                <w:b/>
                <w:sz w:val="24"/>
                <w:szCs w:val="24"/>
              </w:rPr>
              <w:t>N</w:t>
            </w:r>
          </w:p>
        </w:tc>
        <w:tc>
          <w:tcPr>
            <w:tcW w:w="985" w:type="dxa"/>
          </w:tcPr>
          <w:p w:rsidR="00BE1D91" w:rsidRPr="00BE1D91" w:rsidRDefault="00BE1D91" w:rsidP="00BE1D91">
            <w:pPr>
              <w:spacing w:line="480" w:lineRule="auto"/>
              <w:rPr>
                <w:rFonts w:ascii="Times New Roman" w:hAnsi="Times New Roman" w:cs="Times New Roman"/>
                <w:b/>
                <w:sz w:val="24"/>
                <w:szCs w:val="24"/>
              </w:rPr>
            </w:pPr>
            <w:r w:rsidRPr="00BE1D91">
              <w:rPr>
                <w:rFonts w:ascii="Times New Roman" w:hAnsi="Times New Roman" w:cs="Times New Roman"/>
                <w:b/>
                <w:sz w:val="24"/>
                <w:szCs w:val="24"/>
              </w:rPr>
              <w:t>%</w:t>
            </w:r>
          </w:p>
        </w:tc>
        <w:tc>
          <w:tcPr>
            <w:tcW w:w="1003" w:type="dxa"/>
          </w:tcPr>
          <w:p w:rsidR="00BE1D91" w:rsidRPr="00BE1D91" w:rsidRDefault="00BE1D91" w:rsidP="00BE1D91">
            <w:pPr>
              <w:spacing w:line="480" w:lineRule="auto"/>
              <w:rPr>
                <w:rFonts w:ascii="Times New Roman" w:hAnsi="Times New Roman" w:cs="Times New Roman"/>
                <w:b/>
                <w:sz w:val="24"/>
                <w:szCs w:val="24"/>
              </w:rPr>
            </w:pPr>
            <w:r w:rsidRPr="00BE1D91">
              <w:rPr>
                <w:rFonts w:ascii="Times New Roman" w:hAnsi="Times New Roman" w:cs="Times New Roman"/>
                <w:b/>
                <w:sz w:val="24"/>
                <w:szCs w:val="24"/>
              </w:rPr>
              <w:t>SE</w:t>
            </w:r>
          </w:p>
        </w:tc>
      </w:tr>
      <w:tr w:rsidR="00BE1D91" w:rsidRPr="00BE1D91" w:rsidTr="00BE1D91">
        <w:tblPrEx>
          <w:tblLook w:val="04A0"/>
        </w:tblPrEx>
        <w:trPr>
          <w:trHeight w:val="504"/>
        </w:trPr>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sex</w:t>
            </w:r>
          </w:p>
        </w:tc>
        <w:tc>
          <w:tcPr>
            <w:tcW w:w="150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Both (total)</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400</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4.8%</w:t>
            </w:r>
          </w:p>
        </w:tc>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0.2</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2000</w:t>
            </w:r>
          </w:p>
        </w:tc>
        <w:tc>
          <w:tcPr>
            <w:tcW w:w="1182"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0.8%</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0.1</w:t>
            </w:r>
          </w:p>
        </w:tc>
        <w:tc>
          <w:tcPr>
            <w:tcW w:w="914"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1500</w:t>
            </w:r>
          </w:p>
        </w:tc>
        <w:tc>
          <w:tcPr>
            <w:tcW w:w="98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12.4%</w:t>
            </w:r>
          </w:p>
        </w:tc>
        <w:tc>
          <w:tcPr>
            <w:tcW w:w="1003"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0.5</w:t>
            </w:r>
          </w:p>
        </w:tc>
      </w:tr>
      <w:tr w:rsidR="00BE1D91" w:rsidRPr="00BE1D91" w:rsidTr="00BE1D91">
        <w:tblPrEx>
          <w:tblLook w:val="04A0"/>
        </w:tblPrEx>
        <w:trPr>
          <w:trHeight w:val="504"/>
        </w:trPr>
        <w:tc>
          <w:tcPr>
            <w:tcW w:w="1075" w:type="dxa"/>
          </w:tcPr>
          <w:p w:rsidR="00BE1D91" w:rsidRPr="00BE1D91" w:rsidRDefault="00BE1D91" w:rsidP="00BE1D91">
            <w:pPr>
              <w:spacing w:line="480" w:lineRule="auto"/>
              <w:rPr>
                <w:rFonts w:ascii="Times New Roman" w:hAnsi="Times New Roman" w:cs="Times New Roman"/>
                <w:sz w:val="24"/>
                <w:szCs w:val="24"/>
              </w:rPr>
            </w:pPr>
          </w:p>
        </w:tc>
        <w:tc>
          <w:tcPr>
            <w:tcW w:w="150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Male</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600</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0.5%</w:t>
            </w:r>
          </w:p>
        </w:tc>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0.4</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100</w:t>
            </w:r>
          </w:p>
        </w:tc>
        <w:tc>
          <w:tcPr>
            <w:tcW w:w="1182"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0.4%</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0.3</w:t>
            </w:r>
          </w:p>
        </w:tc>
        <w:tc>
          <w:tcPr>
            <w:tcW w:w="914"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4000</w:t>
            </w:r>
          </w:p>
        </w:tc>
        <w:tc>
          <w:tcPr>
            <w:tcW w:w="98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20.5%</w:t>
            </w:r>
          </w:p>
        </w:tc>
        <w:tc>
          <w:tcPr>
            <w:tcW w:w="1003"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0.8</w:t>
            </w:r>
          </w:p>
        </w:tc>
      </w:tr>
      <w:tr w:rsidR="00BE1D91" w:rsidRPr="00BE1D91" w:rsidTr="00BE1D91">
        <w:tblPrEx>
          <w:tblLook w:val="04A0"/>
        </w:tblPrEx>
        <w:trPr>
          <w:trHeight w:val="504"/>
        </w:trPr>
        <w:tc>
          <w:tcPr>
            <w:tcW w:w="1075" w:type="dxa"/>
          </w:tcPr>
          <w:p w:rsidR="00BE1D91" w:rsidRPr="00BE1D91" w:rsidRDefault="00BE1D91" w:rsidP="00BE1D91">
            <w:pPr>
              <w:spacing w:line="480" w:lineRule="auto"/>
              <w:rPr>
                <w:rFonts w:ascii="Times New Roman" w:hAnsi="Times New Roman" w:cs="Times New Roman"/>
                <w:sz w:val="24"/>
                <w:szCs w:val="24"/>
              </w:rPr>
            </w:pPr>
          </w:p>
        </w:tc>
        <w:tc>
          <w:tcPr>
            <w:tcW w:w="150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Female</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400</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0.6%</w:t>
            </w:r>
          </w:p>
        </w:tc>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0.1</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17</w:t>
            </w:r>
          </w:p>
        </w:tc>
        <w:tc>
          <w:tcPr>
            <w:tcW w:w="1182"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0.8%</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0.2</w:t>
            </w:r>
          </w:p>
        </w:tc>
        <w:tc>
          <w:tcPr>
            <w:tcW w:w="914"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3500</w:t>
            </w:r>
          </w:p>
        </w:tc>
        <w:tc>
          <w:tcPr>
            <w:tcW w:w="98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4%</w:t>
            </w:r>
          </w:p>
        </w:tc>
        <w:tc>
          <w:tcPr>
            <w:tcW w:w="1003"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0.1</w:t>
            </w:r>
          </w:p>
        </w:tc>
      </w:tr>
      <w:tr w:rsidR="00BE1D91" w:rsidRPr="00BE1D91" w:rsidTr="00BE1D91">
        <w:tblPrEx>
          <w:tblLook w:val="04A0"/>
        </w:tblPrEx>
        <w:trPr>
          <w:trHeight w:val="504"/>
        </w:trPr>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 xml:space="preserve">Age </w:t>
            </w:r>
          </w:p>
        </w:tc>
        <w:tc>
          <w:tcPr>
            <w:tcW w:w="150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15-24</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200</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2.3%</w:t>
            </w:r>
          </w:p>
        </w:tc>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0.3</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400</w:t>
            </w:r>
          </w:p>
        </w:tc>
        <w:tc>
          <w:tcPr>
            <w:tcW w:w="1182"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3.2%</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0.2</w:t>
            </w:r>
          </w:p>
        </w:tc>
        <w:tc>
          <w:tcPr>
            <w:tcW w:w="914"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2000</w:t>
            </w:r>
          </w:p>
        </w:tc>
        <w:tc>
          <w:tcPr>
            <w:tcW w:w="98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9.8%</w:t>
            </w:r>
          </w:p>
        </w:tc>
        <w:tc>
          <w:tcPr>
            <w:tcW w:w="1003"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0.2</w:t>
            </w:r>
          </w:p>
        </w:tc>
      </w:tr>
      <w:tr w:rsidR="00BE1D91" w:rsidRPr="00BE1D91" w:rsidTr="00BE1D91">
        <w:tblPrEx>
          <w:tblLook w:val="04A0"/>
        </w:tblPrEx>
        <w:trPr>
          <w:trHeight w:val="504"/>
        </w:trPr>
        <w:tc>
          <w:tcPr>
            <w:tcW w:w="1075" w:type="dxa"/>
          </w:tcPr>
          <w:p w:rsidR="00BE1D91" w:rsidRPr="00BE1D91" w:rsidRDefault="00BE1D91" w:rsidP="00BE1D91">
            <w:pPr>
              <w:spacing w:line="480" w:lineRule="auto"/>
              <w:rPr>
                <w:rFonts w:ascii="Times New Roman" w:hAnsi="Times New Roman" w:cs="Times New Roman"/>
                <w:sz w:val="24"/>
                <w:szCs w:val="24"/>
              </w:rPr>
            </w:pPr>
          </w:p>
        </w:tc>
        <w:tc>
          <w:tcPr>
            <w:tcW w:w="150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25-34</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100</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5.4%</w:t>
            </w:r>
          </w:p>
        </w:tc>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0.5</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250</w:t>
            </w:r>
          </w:p>
        </w:tc>
        <w:tc>
          <w:tcPr>
            <w:tcW w:w="1182"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2.0%</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0.2</w:t>
            </w:r>
          </w:p>
        </w:tc>
        <w:tc>
          <w:tcPr>
            <w:tcW w:w="914"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3076</w:t>
            </w:r>
          </w:p>
        </w:tc>
        <w:tc>
          <w:tcPr>
            <w:tcW w:w="98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14%</w:t>
            </w:r>
          </w:p>
        </w:tc>
        <w:tc>
          <w:tcPr>
            <w:tcW w:w="1003"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0.2</w:t>
            </w:r>
          </w:p>
        </w:tc>
      </w:tr>
      <w:tr w:rsidR="00BE1D91" w:rsidRPr="00BE1D91" w:rsidTr="00BE1D91">
        <w:tblPrEx>
          <w:tblLook w:val="04A0"/>
        </w:tblPrEx>
        <w:trPr>
          <w:trHeight w:val="504"/>
        </w:trPr>
        <w:tc>
          <w:tcPr>
            <w:tcW w:w="1075" w:type="dxa"/>
          </w:tcPr>
          <w:p w:rsidR="00BE1D91" w:rsidRPr="00BE1D91" w:rsidRDefault="00BE1D91" w:rsidP="00BE1D91">
            <w:pPr>
              <w:spacing w:line="480" w:lineRule="auto"/>
              <w:rPr>
                <w:rFonts w:ascii="Times New Roman" w:hAnsi="Times New Roman" w:cs="Times New Roman"/>
                <w:sz w:val="24"/>
                <w:szCs w:val="24"/>
              </w:rPr>
            </w:pPr>
          </w:p>
        </w:tc>
        <w:tc>
          <w:tcPr>
            <w:tcW w:w="150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35+</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556</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8.9%</w:t>
            </w:r>
          </w:p>
        </w:tc>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0.3</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430</w:t>
            </w:r>
          </w:p>
        </w:tc>
        <w:tc>
          <w:tcPr>
            <w:tcW w:w="1182"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54%</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0.3</w:t>
            </w:r>
          </w:p>
        </w:tc>
        <w:tc>
          <w:tcPr>
            <w:tcW w:w="914"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3200</w:t>
            </w:r>
          </w:p>
        </w:tc>
        <w:tc>
          <w:tcPr>
            <w:tcW w:w="98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14.4%</w:t>
            </w:r>
          </w:p>
        </w:tc>
        <w:tc>
          <w:tcPr>
            <w:tcW w:w="1003"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0.4</w:t>
            </w:r>
          </w:p>
        </w:tc>
      </w:tr>
      <w:tr w:rsidR="00BE1D91" w:rsidRPr="00BE1D91" w:rsidTr="00BE1D91">
        <w:tblPrEx>
          <w:tblLook w:val="04A0"/>
        </w:tblPrEx>
        <w:trPr>
          <w:trHeight w:val="532"/>
        </w:trPr>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Marital status</w:t>
            </w:r>
          </w:p>
        </w:tc>
        <w:tc>
          <w:tcPr>
            <w:tcW w:w="150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Never married</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770</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2.2%</w:t>
            </w:r>
          </w:p>
        </w:tc>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0.2</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200</w:t>
            </w:r>
          </w:p>
        </w:tc>
        <w:tc>
          <w:tcPr>
            <w:tcW w:w="1182"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1.3%</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0.3</w:t>
            </w:r>
          </w:p>
        </w:tc>
        <w:tc>
          <w:tcPr>
            <w:tcW w:w="914"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516</w:t>
            </w:r>
          </w:p>
        </w:tc>
        <w:tc>
          <w:tcPr>
            <w:tcW w:w="98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12.4%</w:t>
            </w:r>
          </w:p>
        </w:tc>
        <w:tc>
          <w:tcPr>
            <w:tcW w:w="1003"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0.1</w:t>
            </w:r>
          </w:p>
        </w:tc>
      </w:tr>
      <w:tr w:rsidR="00BE1D91" w:rsidRPr="00BE1D91" w:rsidTr="00BE1D91">
        <w:tblPrEx>
          <w:tblLook w:val="04A0"/>
        </w:tblPrEx>
        <w:trPr>
          <w:trHeight w:val="623"/>
        </w:trPr>
        <w:tc>
          <w:tcPr>
            <w:tcW w:w="1075" w:type="dxa"/>
          </w:tcPr>
          <w:p w:rsidR="00BE1D91" w:rsidRPr="00BE1D91" w:rsidRDefault="00BE1D91" w:rsidP="00BE1D91">
            <w:pPr>
              <w:spacing w:line="480" w:lineRule="auto"/>
              <w:rPr>
                <w:rFonts w:ascii="Times New Roman" w:hAnsi="Times New Roman" w:cs="Times New Roman"/>
                <w:sz w:val="24"/>
                <w:szCs w:val="24"/>
              </w:rPr>
            </w:pPr>
          </w:p>
        </w:tc>
        <w:tc>
          <w:tcPr>
            <w:tcW w:w="150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Currently married</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3600</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14.1%</w:t>
            </w:r>
          </w:p>
        </w:tc>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0.4</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 xml:space="preserve">580 </w:t>
            </w:r>
          </w:p>
        </w:tc>
        <w:tc>
          <w:tcPr>
            <w:tcW w:w="1182"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0.9%</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0.7</w:t>
            </w:r>
          </w:p>
        </w:tc>
        <w:tc>
          <w:tcPr>
            <w:tcW w:w="914"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3520</w:t>
            </w:r>
          </w:p>
        </w:tc>
        <w:tc>
          <w:tcPr>
            <w:tcW w:w="98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13.5%</w:t>
            </w:r>
          </w:p>
        </w:tc>
        <w:tc>
          <w:tcPr>
            <w:tcW w:w="1003"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0.0</w:t>
            </w:r>
          </w:p>
        </w:tc>
      </w:tr>
      <w:tr w:rsidR="00BE1D91" w:rsidRPr="00BE1D91" w:rsidTr="00BE1D91">
        <w:tblPrEx>
          <w:tblLook w:val="04A0"/>
        </w:tblPrEx>
        <w:trPr>
          <w:trHeight w:val="476"/>
        </w:trPr>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Education</w:t>
            </w:r>
          </w:p>
        </w:tc>
        <w:tc>
          <w:tcPr>
            <w:tcW w:w="150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College &amp; higher education.</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1060</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6.8%</w:t>
            </w:r>
          </w:p>
        </w:tc>
        <w:tc>
          <w:tcPr>
            <w:tcW w:w="107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0.6</w:t>
            </w:r>
          </w:p>
        </w:tc>
        <w:tc>
          <w:tcPr>
            <w:tcW w:w="860"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2400</w:t>
            </w:r>
          </w:p>
        </w:tc>
        <w:tc>
          <w:tcPr>
            <w:tcW w:w="1182"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14.2%</w:t>
            </w:r>
          </w:p>
        </w:tc>
        <w:tc>
          <w:tcPr>
            <w:tcW w:w="967"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0.4</w:t>
            </w:r>
          </w:p>
        </w:tc>
        <w:tc>
          <w:tcPr>
            <w:tcW w:w="914"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3500</w:t>
            </w:r>
          </w:p>
        </w:tc>
        <w:tc>
          <w:tcPr>
            <w:tcW w:w="985"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12.2%</w:t>
            </w:r>
          </w:p>
        </w:tc>
        <w:tc>
          <w:tcPr>
            <w:tcW w:w="1003" w:type="dxa"/>
          </w:tcPr>
          <w:p w:rsidR="00BE1D91" w:rsidRPr="00BE1D91" w:rsidRDefault="00BE1D91"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0.7</w:t>
            </w:r>
          </w:p>
        </w:tc>
      </w:tr>
    </w:tbl>
    <w:p w:rsidR="00BE1D91" w:rsidRPr="00BE1D91" w:rsidRDefault="00BE1D91" w:rsidP="00BE1D91">
      <w:pPr>
        <w:spacing w:line="480" w:lineRule="auto"/>
        <w:ind w:firstLine="720"/>
        <w:rPr>
          <w:rFonts w:ascii="Times New Roman" w:hAnsi="Times New Roman" w:cs="Times New Roman"/>
          <w:sz w:val="24"/>
          <w:szCs w:val="24"/>
        </w:rPr>
      </w:pPr>
    </w:p>
    <w:p w:rsidR="00B76FCD" w:rsidRPr="00BE1D91" w:rsidRDefault="00B76FCD"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t>N: number, %: percentage, SE: standard error.</w:t>
      </w:r>
    </w:p>
    <w:p w:rsidR="00BE1D91" w:rsidRDefault="00BE1D91" w:rsidP="00BE1D91">
      <w:pPr>
        <w:spacing w:line="480" w:lineRule="auto"/>
        <w:ind w:firstLine="720"/>
        <w:rPr>
          <w:rFonts w:ascii="Times New Roman" w:hAnsi="Times New Roman" w:cs="Times New Roman"/>
          <w:sz w:val="24"/>
          <w:szCs w:val="24"/>
        </w:rPr>
      </w:pP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lastRenderedPageBreak/>
        <w:t>From the above information, the likelihood of tobacco consumption increased with age and marital status and reduced amongst females. Evidently, that 4.4% of the adolescents use shisha on a daily basis. While 16.0% of people aged 15 years or have ever smoked tobacco and they form 12% of current tobacco smokes in the Gulf Region. The survey indicates that the mean initialization age of ever daily smoking was 19.8 years for females and 18.8 years for males. Types of tobacco consumption varied by age group, gender, marital status, and education group. The consumption outline is more predominant among the married. Evidently, 2% of the sample population were current daily smokers of cigarettes, shisha and other types of tobacco consumption. This approximation was 0.1% in women and 2.6% in men. Whereas the commonness of current daily smoking of all types of tobacco consumption in males is roughly 19.9 times higher than that of women.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Throughout the study, greater variations in tobacco consumption measures were recorded by different countries.  The greatest commonness of tobacco consumption was recorded in Iran 18.6%, Oman 17.3%, Iraq 15.5% and UAE 11.3% while other Gulf countries registered gradually increasing the rate of tobacco consumption. </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Despite this, different quantities of diverse types of tobacco are consumed. Majority of people smoke 20 per day.  On average, people who use midwakh use 10-12 a day, those who spent cigar smoked 18 cigars a week while shisha smokers take 16 shishas a month.</w:t>
      </w:r>
    </w:p>
    <w:p w:rsidR="00BE1D91" w:rsidRDefault="00BE1D91" w:rsidP="00BE1D91">
      <w:pPr>
        <w:spacing w:line="480" w:lineRule="auto"/>
        <w:jc w:val="center"/>
        <w:rPr>
          <w:rFonts w:ascii="Times New Roman" w:hAnsi="Times New Roman" w:cs="Times New Roman"/>
          <w:b/>
          <w:sz w:val="24"/>
          <w:szCs w:val="24"/>
        </w:rPr>
      </w:pPr>
    </w:p>
    <w:p w:rsidR="00BE1D91" w:rsidRDefault="00BE1D91" w:rsidP="00BE1D91">
      <w:pPr>
        <w:spacing w:line="480" w:lineRule="auto"/>
        <w:jc w:val="center"/>
        <w:rPr>
          <w:rFonts w:ascii="Times New Roman" w:hAnsi="Times New Roman" w:cs="Times New Roman"/>
          <w:b/>
          <w:sz w:val="24"/>
          <w:szCs w:val="24"/>
        </w:rPr>
      </w:pPr>
    </w:p>
    <w:p w:rsidR="00BE1D91" w:rsidRDefault="00BE1D91" w:rsidP="00BE1D91">
      <w:pPr>
        <w:spacing w:line="480" w:lineRule="auto"/>
        <w:jc w:val="center"/>
        <w:rPr>
          <w:rFonts w:ascii="Times New Roman" w:hAnsi="Times New Roman" w:cs="Times New Roman"/>
          <w:b/>
          <w:sz w:val="24"/>
          <w:szCs w:val="24"/>
        </w:rPr>
      </w:pPr>
    </w:p>
    <w:p w:rsidR="00BE1D91" w:rsidRDefault="00BE1D91" w:rsidP="00BE1D91">
      <w:pPr>
        <w:spacing w:line="480" w:lineRule="auto"/>
        <w:jc w:val="center"/>
        <w:rPr>
          <w:rFonts w:ascii="Times New Roman" w:hAnsi="Times New Roman" w:cs="Times New Roman"/>
          <w:b/>
          <w:sz w:val="24"/>
          <w:szCs w:val="24"/>
        </w:rPr>
      </w:pP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lastRenderedPageBreak/>
        <w:t>Discussion.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The survey formed the largest complete study of tobacco consumption amongst adults in the Gulf Region and the Arab world as well. With UAE being a young nation, tobacco consumption has greatly increased due to the openness of its economy and increased immigration of expatriate labor force (Chaloupka et al., 2012, p.172). The study indicates that average consumption of midwakh in the Gulf Region is currently 12 times a day which is equal to using 6 grams of dry tobacco (dokha) per day. Although very little is known about the commonness of midwakh consumption in the region, it has been previously reported that 15% of the university students have ever smoked midwakh in their lifetime. Our study finds that midwakh tobacco users are comparatively younger and were initiated to smoking in their early age than other types of tobacco users. Young smokers prioritize midwakh because it can be used with other forms of tobacco, it is cheap and can be used with different pipes styles.</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Moreover, shisha smoking has been increasing gradually in women than men according to the study. Factually, shisha consumption has increased across each demographics, and therefore emergence in shisha consumption is of great concern. It is said that use of shisha is socially more acceptable to women and young smokers than other types of smoking in the Gulf Region. This is concerning our data which indicates that different male-to-female ratios for the recent smoking of all tobacco products as well as daily shisha smoking of 20 vs. six respectively. It has been found that shisha smokers have a common misconception that the water used in the instrument controls health effects of shisha. Its consumption is becoming highly widespread, and it is commonly consumed in social congregations, more so by youth and young adults in the Gulf Region. Our data indicate that firm measures should be created and implemented to control the increasing consumption of shisha. </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lastRenderedPageBreak/>
        <w:t xml:space="preserve">From the most recent survey, over 60% of the Gulf population have ever smoked tobacco. From scientific point of view, tobacco consumption has devastating results to human health. This exerts a great challenge not only to the relatives of the tobacco addicts but also to the state government as it tries to curb health complexities associated.  It has been confirmed that tobacco leads to disability, disease and harms nearly every body organ. Millions of people in the Gulf region have always died as a result of illnesses caused by smoking. Studies have indicated that, for every single person who dies, other 30 people have serious tobacco-related illnesses in the Gulf region. Smoking brings about heart disease, asthma, cancer, stroke, diabetes, lung disease, hypertension and obstructive pulmonary disease. Moreover, smoking increases chances of certain eye disease, tuberculosis, and challenges of the immune system which entails rheumatoid arthritis. </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Nevertheless, smoking has devastating effects on secondhand smoke contacts which have accounted for roughly 4000 deaths of non-tobacco consumers and 400 mortality of infants each year. Secondhand smoke is eligible for causing stroke, lung cancer, as well as coronary heart disease in adults.  Moreover, infants who are indirectly exposed to secondhand tobacco smoke are at high threats for sudden infant death syndrome, middle ear disease, acute respiratory infections, respiratory complications, sluggish lung growth and more severe asthma. Inhaling tobacco smoke can alter ones blood chemistry to and extent of damaging ones blood vessels (Albeshan et al., 2017). As one inhales smoke, cells in the body’s blood vessels react to chemicals. This can lead to increased heart rate and shooting of blood pressure since blood vessels grow narrower. This points out tobacco consumption as a malicious aspect of one’s health.</w:t>
      </w:r>
    </w:p>
    <w:p w:rsidR="00BE1D91" w:rsidRDefault="00BE1D91" w:rsidP="00BE1D91">
      <w:pPr>
        <w:spacing w:line="480" w:lineRule="auto"/>
        <w:jc w:val="center"/>
        <w:rPr>
          <w:rFonts w:ascii="Times New Roman" w:hAnsi="Times New Roman" w:cs="Times New Roman"/>
          <w:b/>
          <w:sz w:val="24"/>
          <w:szCs w:val="24"/>
        </w:rPr>
      </w:pP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lastRenderedPageBreak/>
        <w:t>Challenges facing tobacco control in Gulf region.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Despite the growing competition and demand for various types of tobacco consumption by populations of Gulf region, respective governments have always staged welly formulated measures to control its consumption. Nevertheless, global organizations such as World Health Organization have also declared their interest and support to this pandemic, but it has not been functionally successful. These challenges have been as a result of an increase in some tobacco industries in the Gulf region. Ideally, this has created increased competition in marketing thus making firms to sell their tobacco products at lower prices. This makes tobacco more available to the young adults and women than expected.</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Although countries like Oman, Iran, Iraq, and UAE have announced tobacco ban of cigarette imports in the year 2001, approximately 10% of the generation claims that they had been awarded free cigarettes from respective cigarettes representatives, posing the need for reinforcement in the region (Nemati et al., 2017). More than usual, tobacco cultivation is all over in the Gulf Region. Concerning agricultural census of 2012/13, the overall land was used for tobacco cultivation in Oman was over 500 acres which contribute annual yield of 2000 metric tons comprised of dry tobacco leaf. This implies that tobacco is available in large measures and hence measures should be accomplished to mitigate tobacco cultivation since the outstanding control measures have not been able to provide farmers with economically viable replacements for tobacco farming in the countries. Moreover, the Gulf region has been characterized by increased tax evasion tactics which complicate tobacco control process in the region.</w:t>
      </w:r>
    </w:p>
    <w:p w:rsidR="00BE1D91" w:rsidRDefault="00BE1D91" w:rsidP="00BE1D91">
      <w:pPr>
        <w:spacing w:line="480" w:lineRule="auto"/>
        <w:jc w:val="center"/>
        <w:rPr>
          <w:rFonts w:ascii="Times New Roman" w:hAnsi="Times New Roman" w:cs="Times New Roman"/>
          <w:b/>
          <w:sz w:val="24"/>
          <w:szCs w:val="24"/>
        </w:rPr>
      </w:pPr>
    </w:p>
    <w:p w:rsidR="00BE1D91" w:rsidRDefault="00BE1D91" w:rsidP="00BE1D91">
      <w:pPr>
        <w:spacing w:line="480" w:lineRule="auto"/>
        <w:jc w:val="center"/>
        <w:rPr>
          <w:rFonts w:ascii="Times New Roman" w:hAnsi="Times New Roman" w:cs="Times New Roman"/>
          <w:b/>
          <w:sz w:val="24"/>
          <w:szCs w:val="24"/>
        </w:rPr>
      </w:pP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lastRenderedPageBreak/>
        <w:t>Conclusion.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The study reveals that various types of tobacco consumption have become an issue of global concern. As such, forms of tobacco such as cigars, cigarettes, dokha, midwakh, shisha, and waterpipes have increasingly spread over the populations. Mostly among those aged between 20 to 65 years, regardless the efforts of world health organizations and Gulf health ministry’s towards tobacco control (Hickling et al., 2017, p. 530). Concerning our results and findings, much is required for development and implementation of tobacco control programs to prevent tobacco smoking initiation while encouraging quitting from such habits. An urgent response should be taken, especially for the female gender as the research has identified widespread of smoking amongst women. Gulf countries should prioritize increasing taxation, banning tobacco trade and educating residents on the effects of tobacco consumption broadly.</w:t>
      </w:r>
    </w:p>
    <w:p w:rsidR="00C84134" w:rsidRPr="00BE1D91" w:rsidRDefault="00C84134" w:rsidP="00BE1D91">
      <w:pPr>
        <w:spacing w:line="480" w:lineRule="auto"/>
        <w:jc w:val="center"/>
        <w:rPr>
          <w:rFonts w:ascii="Times New Roman" w:hAnsi="Times New Roman" w:cs="Times New Roman"/>
          <w:b/>
          <w:sz w:val="24"/>
          <w:szCs w:val="24"/>
        </w:rPr>
      </w:pPr>
      <w:r w:rsidRPr="00BE1D91">
        <w:rPr>
          <w:rFonts w:ascii="Times New Roman" w:hAnsi="Times New Roman" w:cs="Times New Roman"/>
          <w:b/>
          <w:sz w:val="24"/>
          <w:szCs w:val="24"/>
        </w:rPr>
        <w:t>Recommendations.</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According to the research, tobacco consumption has been facilitated by numeral aspects such as relaxed regulations against tobacco trade, increased advertisement over the media, lack of precise understanding concerning effects of tobacco, increased tobacco cultivation, and other factors. I at this moment recommend that all the Gulf region countries in conjunction with WHO should predominantly establish revised policy measures to control tobacco growing and tobacco consumption with an aim to safeguard the population from disastrous effects tobacco use and other types of tobacco consumption together with second-hand smoke. These include; revising tobacco advertising restrictions through tobacco advertising directives, developing limitations in places where people may smoke in the campaign for smoke-free surroundings in the region. Further, the governments should come up with joint regulatory policies for tobacco related products; for instance regarding labeling, packaging, and ingredients (Nemati et al., 2017). Also, </w:t>
      </w:r>
      <w:r w:rsidRPr="00BE1D91">
        <w:rPr>
          <w:rFonts w:ascii="Times New Roman" w:hAnsi="Times New Roman" w:cs="Times New Roman"/>
          <w:sz w:val="24"/>
          <w:szCs w:val="24"/>
        </w:rPr>
        <w:lastRenderedPageBreak/>
        <w:t>tax measures and activities against illicit tobacco trade should be revised to amend the structure and rates of tax in assimilation with public health goals. Also, the government should suitably provide a backup for anti-smoking crusades in the view of mitigating secondhand smoke effects.</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Despite this, the Gulf region countries should come up as active members in the WHO Framework Conventions on Tobacco Control.  This treaty will purpose to regulate the increased health illnesses as well as social and economic impacts of tobacco consumption.</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Also, young adults are the backbone of every nation hence that Gulf countries should purpose to safeguard the adolescents through intervention strategies. Prevention measures should be strategized to determine the important personal, environmental and social risk aspects and respond accordingly to control adolescents from being introduced to smoking thus reducing adolescent’s tobacco abuse (Mahboub et al., 2017, p. 2876). In this regard, the widespread of tobacco pandemic needs a detailed prevention plan in schools and communities to achieve reduced youth access to tobacco products. Also, minimized exposure to secondhand smoke, enhancing cessation via school-based youth counseling programs and changing community norms regarding tobacco use by increasing public awareness on other harmful health effects of tobacco consumption as well as the addictive nature of tobacco smoking.</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t xml:space="preserve">I now recommend that this study will be of great significance to the Gulf governments and the World Health Organization in an effort to control tobacco consumption while reducing associated health risks to the populations. Further, other more critical researches should be conducted to identify the importance of abandoning tobacco trade and effectiveness of prevention activities. </w:t>
      </w:r>
    </w:p>
    <w:p w:rsidR="00C84134" w:rsidRPr="00BE1D91" w:rsidRDefault="00C84134" w:rsidP="00BE1D91">
      <w:pPr>
        <w:spacing w:line="480" w:lineRule="auto"/>
        <w:ind w:firstLine="720"/>
        <w:rPr>
          <w:rFonts w:ascii="Times New Roman" w:hAnsi="Times New Roman" w:cs="Times New Roman"/>
          <w:sz w:val="24"/>
          <w:szCs w:val="24"/>
        </w:rPr>
      </w:pPr>
      <w:r w:rsidRPr="00BE1D91">
        <w:rPr>
          <w:rFonts w:ascii="Times New Roman" w:hAnsi="Times New Roman" w:cs="Times New Roman"/>
          <w:sz w:val="24"/>
          <w:szCs w:val="24"/>
        </w:rPr>
        <w:lastRenderedPageBreak/>
        <w:t>The widespread of tobacco consumption will deteriorate when the young people, women and adults men no longer yearn to smoke. This remained to be the main challenge and the next mission for the Gulf Region governments at large.</w:t>
      </w:r>
    </w:p>
    <w:p w:rsidR="00C84134" w:rsidRPr="00BE1D91" w:rsidRDefault="00C84134" w:rsidP="00BE1D91">
      <w:pPr>
        <w:spacing w:line="480" w:lineRule="auto"/>
        <w:rPr>
          <w:rFonts w:ascii="Times New Roman" w:hAnsi="Times New Roman" w:cs="Times New Roman"/>
          <w:sz w:val="24"/>
          <w:szCs w:val="24"/>
        </w:rPr>
      </w:pPr>
    </w:p>
    <w:p w:rsidR="00B76FCD" w:rsidRPr="00BE1D91" w:rsidRDefault="00B76FCD" w:rsidP="00BE1D91">
      <w:pPr>
        <w:spacing w:line="480" w:lineRule="auto"/>
        <w:rPr>
          <w:rFonts w:ascii="Times New Roman" w:hAnsi="Times New Roman" w:cs="Times New Roman"/>
          <w:sz w:val="24"/>
          <w:szCs w:val="24"/>
        </w:rPr>
      </w:pPr>
      <w:r w:rsidRPr="00BE1D91">
        <w:rPr>
          <w:rFonts w:ascii="Times New Roman" w:hAnsi="Times New Roman" w:cs="Times New Roman"/>
          <w:sz w:val="24"/>
          <w:szCs w:val="24"/>
        </w:rPr>
        <w:t>.</w:t>
      </w:r>
    </w:p>
    <w:p w:rsidR="002C3D2D" w:rsidRDefault="002C3D2D"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rPr>
          <w:rFonts w:ascii="Times New Roman" w:hAnsi="Times New Roman" w:cs="Times New Roman"/>
          <w:sz w:val="24"/>
          <w:szCs w:val="24"/>
        </w:rPr>
      </w:pPr>
    </w:p>
    <w:p w:rsidR="00BE1D91" w:rsidRPr="00BE1D91" w:rsidRDefault="00BE1D91" w:rsidP="00BE1D91">
      <w:pPr>
        <w:tabs>
          <w:tab w:val="left" w:pos="8610"/>
        </w:tabs>
        <w:spacing w:line="480" w:lineRule="auto"/>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BE1D91" w:rsidRDefault="00BE1D91" w:rsidP="00BE1D91">
      <w:pPr>
        <w:tabs>
          <w:tab w:val="left" w:pos="8610"/>
        </w:tabs>
        <w:spacing w:line="480" w:lineRule="auto"/>
        <w:jc w:val="center"/>
        <w:rPr>
          <w:rFonts w:ascii="Times New Roman" w:hAnsi="Times New Roman" w:cs="Times New Roman"/>
          <w:sz w:val="24"/>
          <w:szCs w:val="24"/>
        </w:rPr>
      </w:pPr>
    </w:p>
    <w:p w:rsidR="002C3D2D" w:rsidRPr="00BE1D91" w:rsidRDefault="002C3D2D" w:rsidP="00BE1D91">
      <w:pPr>
        <w:tabs>
          <w:tab w:val="left" w:pos="8610"/>
        </w:tabs>
        <w:spacing w:line="480" w:lineRule="auto"/>
        <w:jc w:val="center"/>
        <w:rPr>
          <w:rFonts w:ascii="Times New Roman" w:hAnsi="Times New Roman" w:cs="Times New Roman"/>
          <w:color w:val="222222"/>
          <w:sz w:val="24"/>
          <w:szCs w:val="24"/>
          <w:shd w:val="clear" w:color="auto" w:fill="FFFFFF"/>
        </w:rPr>
      </w:pPr>
      <w:r w:rsidRPr="00BE1D91">
        <w:rPr>
          <w:rFonts w:ascii="Times New Roman" w:hAnsi="Times New Roman" w:cs="Times New Roman"/>
          <w:sz w:val="24"/>
          <w:szCs w:val="24"/>
        </w:rPr>
        <w:lastRenderedPageBreak/>
        <w:t>Bibliography.</w:t>
      </w:r>
    </w:p>
    <w:p w:rsidR="00B76FCD" w:rsidRPr="00BE1D91" w:rsidRDefault="00B76FCD" w:rsidP="00F8458C">
      <w:pPr>
        <w:spacing w:line="480" w:lineRule="auto"/>
        <w:ind w:left="1008" w:hanging="1008"/>
        <w:rPr>
          <w:rFonts w:ascii="Times New Roman" w:hAnsi="Times New Roman" w:cs="Times New Roman"/>
          <w:sz w:val="24"/>
          <w:szCs w:val="24"/>
        </w:rPr>
      </w:pPr>
      <w:r w:rsidRPr="00BE1D91">
        <w:rPr>
          <w:rFonts w:ascii="Times New Roman" w:hAnsi="Times New Roman" w:cs="Times New Roman"/>
          <w:color w:val="222222"/>
          <w:sz w:val="24"/>
          <w:szCs w:val="24"/>
          <w:shd w:val="clear" w:color="auto" w:fill="FFFFFF"/>
        </w:rPr>
        <w:t>Gunukula, S.K., Aleem, S., Obeid, R., Jaoude, P.A., Honeine, R. and Irani, J., 2014. The prevalence of waterpipe tobacco smoking among the general and specific populations: a systematic review. </w:t>
      </w:r>
      <w:r w:rsidRPr="00BE1D91">
        <w:rPr>
          <w:rFonts w:ascii="Times New Roman" w:hAnsi="Times New Roman" w:cs="Times New Roman"/>
          <w:i/>
          <w:iCs/>
          <w:color w:val="222222"/>
          <w:sz w:val="24"/>
          <w:szCs w:val="24"/>
          <w:shd w:val="clear" w:color="auto" w:fill="FFFFFF"/>
        </w:rPr>
        <w:t>BMC public health</w:t>
      </w:r>
      <w:r w:rsidRPr="00BE1D91">
        <w:rPr>
          <w:rFonts w:ascii="Times New Roman" w:hAnsi="Times New Roman" w:cs="Times New Roman"/>
          <w:color w:val="222222"/>
          <w:sz w:val="24"/>
          <w:szCs w:val="24"/>
          <w:shd w:val="clear" w:color="auto" w:fill="FFFFFF"/>
        </w:rPr>
        <w:t>, </w:t>
      </w:r>
      <w:r w:rsidRPr="00BE1D91">
        <w:rPr>
          <w:rFonts w:ascii="Times New Roman" w:hAnsi="Times New Roman" w:cs="Times New Roman"/>
          <w:i/>
          <w:iCs/>
          <w:color w:val="222222"/>
          <w:sz w:val="24"/>
          <w:szCs w:val="24"/>
          <w:shd w:val="clear" w:color="auto" w:fill="FFFFFF"/>
        </w:rPr>
        <w:t>11</w:t>
      </w:r>
      <w:r w:rsidRPr="00BE1D91">
        <w:rPr>
          <w:rFonts w:ascii="Times New Roman" w:hAnsi="Times New Roman" w:cs="Times New Roman"/>
          <w:color w:val="222222"/>
          <w:sz w:val="24"/>
          <w:szCs w:val="24"/>
          <w:shd w:val="clear" w:color="auto" w:fill="FFFFFF"/>
        </w:rPr>
        <w:t>(1), p.244.</w:t>
      </w:r>
    </w:p>
    <w:p w:rsidR="00B76FCD" w:rsidRPr="00BE1D91" w:rsidRDefault="00B76FCD" w:rsidP="00F8458C">
      <w:pPr>
        <w:spacing w:line="480" w:lineRule="auto"/>
        <w:ind w:left="1008" w:hanging="1008"/>
        <w:rPr>
          <w:rFonts w:ascii="Times New Roman" w:hAnsi="Times New Roman" w:cs="Times New Roman"/>
          <w:color w:val="222222"/>
          <w:sz w:val="24"/>
          <w:szCs w:val="24"/>
          <w:shd w:val="clear" w:color="auto" w:fill="FFFFFF"/>
        </w:rPr>
      </w:pPr>
      <w:r w:rsidRPr="00BE1D91">
        <w:rPr>
          <w:rFonts w:ascii="Times New Roman" w:hAnsi="Times New Roman" w:cs="Times New Roman"/>
          <w:color w:val="222222"/>
          <w:sz w:val="24"/>
          <w:szCs w:val="24"/>
          <w:shd w:val="clear" w:color="auto" w:fill="FFFFFF"/>
        </w:rPr>
        <w:t>Albeshan, S.M., Mackey, M.G., Hossain, S.Z., Alfuraih, A.A. and Brennan, P.C., 2017. Breast Cancer Epidemiology in Gulf Cooperation Council Countries: A Regional and International Comparison. </w:t>
      </w:r>
      <w:r w:rsidRPr="00BE1D91">
        <w:rPr>
          <w:rFonts w:ascii="Times New Roman" w:hAnsi="Times New Roman" w:cs="Times New Roman"/>
          <w:i/>
          <w:iCs/>
          <w:color w:val="222222"/>
          <w:sz w:val="24"/>
          <w:szCs w:val="24"/>
          <w:shd w:val="clear" w:color="auto" w:fill="FFFFFF"/>
        </w:rPr>
        <w:t>Clinical Breast Cancer</w:t>
      </w:r>
      <w:r w:rsidRPr="00BE1D91">
        <w:rPr>
          <w:rFonts w:ascii="Times New Roman" w:hAnsi="Times New Roman" w:cs="Times New Roman"/>
          <w:color w:val="222222"/>
          <w:sz w:val="24"/>
          <w:szCs w:val="24"/>
          <w:shd w:val="clear" w:color="auto" w:fill="FFFFFF"/>
        </w:rPr>
        <w:t>.</w:t>
      </w:r>
    </w:p>
    <w:p w:rsidR="00B76FCD" w:rsidRPr="00BE1D91" w:rsidRDefault="00B76FCD" w:rsidP="00F8458C">
      <w:pPr>
        <w:spacing w:line="480" w:lineRule="auto"/>
        <w:ind w:left="1008" w:hanging="1008"/>
        <w:rPr>
          <w:rFonts w:ascii="Times New Roman" w:hAnsi="Times New Roman" w:cs="Times New Roman"/>
          <w:color w:val="222222"/>
          <w:sz w:val="24"/>
          <w:szCs w:val="24"/>
          <w:shd w:val="clear" w:color="auto" w:fill="FFFFFF"/>
        </w:rPr>
      </w:pPr>
      <w:r w:rsidRPr="00BE1D91">
        <w:rPr>
          <w:rFonts w:ascii="Times New Roman" w:hAnsi="Times New Roman" w:cs="Times New Roman"/>
          <w:color w:val="222222"/>
          <w:sz w:val="24"/>
          <w:szCs w:val="24"/>
          <w:shd w:val="clear" w:color="auto" w:fill="FFFFFF"/>
        </w:rPr>
        <w:t>Chaloupka, F.J., Yurekli, A. and Fong, G.T., 2012. Tobacco taxes as a tobacco control strategy. </w:t>
      </w:r>
      <w:r w:rsidRPr="00BE1D91">
        <w:rPr>
          <w:rFonts w:ascii="Times New Roman" w:hAnsi="Times New Roman" w:cs="Times New Roman"/>
          <w:i/>
          <w:iCs/>
          <w:color w:val="222222"/>
          <w:sz w:val="24"/>
          <w:szCs w:val="24"/>
          <w:shd w:val="clear" w:color="auto" w:fill="FFFFFF"/>
        </w:rPr>
        <w:t>Tobacco Control</w:t>
      </w:r>
      <w:r w:rsidRPr="00BE1D91">
        <w:rPr>
          <w:rFonts w:ascii="Times New Roman" w:hAnsi="Times New Roman" w:cs="Times New Roman"/>
          <w:color w:val="222222"/>
          <w:sz w:val="24"/>
          <w:szCs w:val="24"/>
          <w:shd w:val="clear" w:color="auto" w:fill="FFFFFF"/>
        </w:rPr>
        <w:t>, </w:t>
      </w:r>
      <w:r w:rsidRPr="00BE1D91">
        <w:rPr>
          <w:rFonts w:ascii="Times New Roman" w:hAnsi="Times New Roman" w:cs="Times New Roman"/>
          <w:i/>
          <w:iCs/>
          <w:color w:val="222222"/>
          <w:sz w:val="24"/>
          <w:szCs w:val="24"/>
          <w:shd w:val="clear" w:color="auto" w:fill="FFFFFF"/>
        </w:rPr>
        <w:t>21</w:t>
      </w:r>
      <w:r w:rsidRPr="00BE1D91">
        <w:rPr>
          <w:rFonts w:ascii="Times New Roman" w:hAnsi="Times New Roman" w:cs="Times New Roman"/>
          <w:color w:val="222222"/>
          <w:sz w:val="24"/>
          <w:szCs w:val="24"/>
          <w:shd w:val="clear" w:color="auto" w:fill="FFFFFF"/>
        </w:rPr>
        <w:t>(2), pp.172-180.</w:t>
      </w:r>
    </w:p>
    <w:p w:rsidR="00B76FCD" w:rsidRPr="00BE1D91" w:rsidRDefault="00B76FCD" w:rsidP="00F8458C">
      <w:pPr>
        <w:spacing w:line="480" w:lineRule="auto"/>
        <w:ind w:left="1008" w:hanging="1008"/>
        <w:rPr>
          <w:rFonts w:ascii="Times New Roman" w:hAnsi="Times New Roman" w:cs="Times New Roman"/>
          <w:sz w:val="24"/>
          <w:szCs w:val="24"/>
        </w:rPr>
      </w:pPr>
      <w:r w:rsidRPr="00BE1D91">
        <w:rPr>
          <w:rFonts w:ascii="Times New Roman" w:hAnsi="Times New Roman" w:cs="Times New Roman"/>
          <w:color w:val="222222"/>
          <w:sz w:val="24"/>
          <w:szCs w:val="24"/>
          <w:shd w:val="clear" w:color="auto" w:fill="FFFFFF"/>
        </w:rPr>
        <w:t>Gass, J.C. and Tiffany, S.T., 2017. Craving and tobacco use: Development of the choice behavior under cued conditions (CBUCC) procedure. </w:t>
      </w:r>
      <w:r w:rsidRPr="00BE1D91">
        <w:rPr>
          <w:rFonts w:ascii="Times New Roman" w:hAnsi="Times New Roman" w:cs="Times New Roman"/>
          <w:i/>
          <w:iCs/>
          <w:color w:val="222222"/>
          <w:sz w:val="24"/>
          <w:szCs w:val="24"/>
          <w:shd w:val="clear" w:color="auto" w:fill="FFFFFF"/>
        </w:rPr>
        <w:t>Psychology of Addictive Behaviors</w:t>
      </w:r>
      <w:r w:rsidRPr="00BE1D91">
        <w:rPr>
          <w:rFonts w:ascii="Times New Roman" w:hAnsi="Times New Roman" w:cs="Times New Roman"/>
          <w:color w:val="222222"/>
          <w:sz w:val="24"/>
          <w:szCs w:val="24"/>
          <w:shd w:val="clear" w:color="auto" w:fill="FFFFFF"/>
        </w:rPr>
        <w:t>, </w:t>
      </w:r>
      <w:r w:rsidRPr="00BE1D91">
        <w:rPr>
          <w:rFonts w:ascii="Times New Roman" w:hAnsi="Times New Roman" w:cs="Times New Roman"/>
          <w:i/>
          <w:iCs/>
          <w:color w:val="222222"/>
          <w:sz w:val="24"/>
          <w:szCs w:val="24"/>
          <w:shd w:val="clear" w:color="auto" w:fill="FFFFFF"/>
        </w:rPr>
        <w:t>31</w:t>
      </w:r>
      <w:r w:rsidRPr="00BE1D91">
        <w:rPr>
          <w:rFonts w:ascii="Times New Roman" w:hAnsi="Times New Roman" w:cs="Times New Roman"/>
          <w:color w:val="222222"/>
          <w:sz w:val="24"/>
          <w:szCs w:val="24"/>
          <w:shd w:val="clear" w:color="auto" w:fill="FFFFFF"/>
        </w:rPr>
        <w:t>(3), p.276.</w:t>
      </w:r>
    </w:p>
    <w:p w:rsidR="00B76FCD" w:rsidRPr="00BE1D91" w:rsidRDefault="00B76FCD" w:rsidP="00F8458C">
      <w:pPr>
        <w:spacing w:line="480" w:lineRule="auto"/>
        <w:ind w:left="1008" w:hanging="1008"/>
        <w:rPr>
          <w:rFonts w:ascii="Times New Roman" w:hAnsi="Times New Roman" w:cs="Times New Roman"/>
          <w:color w:val="222222"/>
          <w:sz w:val="24"/>
          <w:szCs w:val="24"/>
          <w:shd w:val="clear" w:color="auto" w:fill="FFFFFF"/>
        </w:rPr>
      </w:pPr>
      <w:r w:rsidRPr="00BE1D91">
        <w:rPr>
          <w:rFonts w:ascii="Times New Roman" w:hAnsi="Times New Roman" w:cs="Times New Roman"/>
          <w:color w:val="222222"/>
          <w:sz w:val="24"/>
          <w:szCs w:val="24"/>
          <w:shd w:val="clear" w:color="auto" w:fill="FFFFFF"/>
        </w:rPr>
        <w:t>Haldorsen, T., Martinsen, J.I., Kjærheim, K. and Grimsrud, T.K., 2017. Adjustment for tobacco smoking and alcohol consumption by simultaneous analysis of several types of cancer. </w:t>
      </w:r>
      <w:r w:rsidRPr="00BE1D91">
        <w:rPr>
          <w:rFonts w:ascii="Times New Roman" w:hAnsi="Times New Roman" w:cs="Times New Roman"/>
          <w:i/>
          <w:iCs/>
          <w:color w:val="222222"/>
          <w:sz w:val="24"/>
          <w:szCs w:val="24"/>
          <w:shd w:val="clear" w:color="auto" w:fill="FFFFFF"/>
        </w:rPr>
        <w:t>Cancer Causes &amp; Control</w:t>
      </w:r>
      <w:r w:rsidRPr="00BE1D91">
        <w:rPr>
          <w:rFonts w:ascii="Times New Roman" w:hAnsi="Times New Roman" w:cs="Times New Roman"/>
          <w:color w:val="222222"/>
          <w:sz w:val="24"/>
          <w:szCs w:val="24"/>
          <w:shd w:val="clear" w:color="auto" w:fill="FFFFFF"/>
        </w:rPr>
        <w:t>, </w:t>
      </w:r>
      <w:r w:rsidRPr="00BE1D91">
        <w:rPr>
          <w:rFonts w:ascii="Times New Roman" w:hAnsi="Times New Roman" w:cs="Times New Roman"/>
          <w:i/>
          <w:iCs/>
          <w:color w:val="222222"/>
          <w:sz w:val="24"/>
          <w:szCs w:val="24"/>
          <w:shd w:val="clear" w:color="auto" w:fill="FFFFFF"/>
        </w:rPr>
        <w:t>28</w:t>
      </w:r>
      <w:r w:rsidRPr="00BE1D91">
        <w:rPr>
          <w:rFonts w:ascii="Times New Roman" w:hAnsi="Times New Roman" w:cs="Times New Roman"/>
          <w:color w:val="222222"/>
          <w:sz w:val="24"/>
          <w:szCs w:val="24"/>
          <w:shd w:val="clear" w:color="auto" w:fill="FFFFFF"/>
        </w:rPr>
        <w:t>(2), pp.155-165.</w:t>
      </w:r>
    </w:p>
    <w:p w:rsidR="00B76FCD" w:rsidRPr="00BE1D91" w:rsidRDefault="00B76FCD" w:rsidP="00F8458C">
      <w:pPr>
        <w:spacing w:line="480" w:lineRule="auto"/>
        <w:ind w:left="1008" w:hanging="1008"/>
        <w:rPr>
          <w:rFonts w:ascii="Times New Roman" w:hAnsi="Times New Roman" w:cs="Times New Roman"/>
          <w:sz w:val="24"/>
          <w:szCs w:val="24"/>
        </w:rPr>
      </w:pPr>
      <w:r w:rsidRPr="00BE1D91">
        <w:rPr>
          <w:rFonts w:ascii="Times New Roman" w:hAnsi="Times New Roman" w:cs="Times New Roman"/>
          <w:color w:val="222222"/>
          <w:sz w:val="24"/>
          <w:szCs w:val="24"/>
          <w:shd w:val="clear" w:color="auto" w:fill="FFFFFF"/>
        </w:rPr>
        <w:t>Hickling, L.M., Ortiz</w:t>
      </w:r>
      <w:r w:rsidRPr="00BE1D91">
        <w:rPr>
          <w:rFonts w:ascii="Cambria Math" w:hAnsi="Cambria Math" w:cs="Cambria Math"/>
          <w:color w:val="222222"/>
          <w:sz w:val="24"/>
          <w:szCs w:val="24"/>
          <w:shd w:val="clear" w:color="auto" w:fill="FFFFFF"/>
        </w:rPr>
        <w:t>‐</w:t>
      </w:r>
      <w:r w:rsidRPr="00BE1D91">
        <w:rPr>
          <w:rFonts w:ascii="Times New Roman" w:hAnsi="Times New Roman" w:cs="Times New Roman"/>
          <w:color w:val="222222"/>
          <w:sz w:val="24"/>
          <w:szCs w:val="24"/>
          <w:shd w:val="clear" w:color="auto" w:fill="FFFFFF"/>
        </w:rPr>
        <w:t>García de la Foz, V., Ayesa</w:t>
      </w:r>
      <w:r w:rsidRPr="00BE1D91">
        <w:rPr>
          <w:rFonts w:ascii="Cambria Math" w:hAnsi="Cambria Math" w:cs="Cambria Math"/>
          <w:color w:val="222222"/>
          <w:sz w:val="24"/>
          <w:szCs w:val="24"/>
          <w:shd w:val="clear" w:color="auto" w:fill="FFFFFF"/>
        </w:rPr>
        <w:t>‐</w:t>
      </w:r>
      <w:r w:rsidRPr="00BE1D91">
        <w:rPr>
          <w:rFonts w:ascii="Times New Roman" w:hAnsi="Times New Roman" w:cs="Times New Roman"/>
          <w:color w:val="222222"/>
          <w:sz w:val="24"/>
          <w:szCs w:val="24"/>
          <w:shd w:val="clear" w:color="auto" w:fill="FFFFFF"/>
        </w:rPr>
        <w:t>Arriola, R., Crespo</w:t>
      </w:r>
      <w:r w:rsidRPr="00BE1D91">
        <w:rPr>
          <w:rFonts w:ascii="Cambria Math" w:hAnsi="Cambria Math" w:cs="Cambria Math"/>
          <w:color w:val="222222"/>
          <w:sz w:val="24"/>
          <w:szCs w:val="24"/>
          <w:shd w:val="clear" w:color="auto" w:fill="FFFFFF"/>
        </w:rPr>
        <w:t>‐</w:t>
      </w:r>
      <w:r w:rsidRPr="00BE1D91">
        <w:rPr>
          <w:rFonts w:ascii="Times New Roman" w:hAnsi="Times New Roman" w:cs="Times New Roman"/>
          <w:color w:val="222222"/>
          <w:sz w:val="24"/>
          <w:szCs w:val="24"/>
          <w:shd w:val="clear" w:color="auto" w:fill="FFFFFF"/>
        </w:rPr>
        <w:t>Facorro, B., McGuire, P. and Perez</w:t>
      </w:r>
      <w:r w:rsidRPr="00BE1D91">
        <w:rPr>
          <w:rFonts w:ascii="Cambria Math" w:hAnsi="Cambria Math" w:cs="Cambria Math"/>
          <w:color w:val="222222"/>
          <w:sz w:val="24"/>
          <w:szCs w:val="24"/>
          <w:shd w:val="clear" w:color="auto" w:fill="FFFFFF"/>
        </w:rPr>
        <w:t>‐</w:t>
      </w:r>
      <w:r w:rsidRPr="00BE1D91">
        <w:rPr>
          <w:rFonts w:ascii="Times New Roman" w:hAnsi="Times New Roman" w:cs="Times New Roman"/>
          <w:color w:val="222222"/>
          <w:sz w:val="24"/>
          <w:szCs w:val="24"/>
          <w:shd w:val="clear" w:color="auto" w:fill="FFFFFF"/>
        </w:rPr>
        <w:t>Iglesias, R., 2017. The effects of tobacco smoking on age of onset of psychosis and psychotic symptoms in a first</w:t>
      </w:r>
      <w:r w:rsidRPr="00BE1D91">
        <w:rPr>
          <w:rFonts w:ascii="Cambria Math" w:hAnsi="Cambria Math" w:cs="Cambria Math"/>
          <w:color w:val="222222"/>
          <w:sz w:val="24"/>
          <w:szCs w:val="24"/>
          <w:shd w:val="clear" w:color="auto" w:fill="FFFFFF"/>
        </w:rPr>
        <w:t>‐</w:t>
      </w:r>
      <w:r w:rsidRPr="00BE1D91">
        <w:rPr>
          <w:rFonts w:ascii="Times New Roman" w:hAnsi="Times New Roman" w:cs="Times New Roman"/>
          <w:color w:val="222222"/>
          <w:sz w:val="24"/>
          <w:szCs w:val="24"/>
          <w:shd w:val="clear" w:color="auto" w:fill="FFFFFF"/>
        </w:rPr>
        <w:t>episode psychosis population. </w:t>
      </w:r>
      <w:r w:rsidRPr="00BE1D91">
        <w:rPr>
          <w:rFonts w:ascii="Times New Roman" w:hAnsi="Times New Roman" w:cs="Times New Roman"/>
          <w:i/>
          <w:iCs/>
          <w:color w:val="222222"/>
          <w:sz w:val="24"/>
          <w:szCs w:val="24"/>
          <w:shd w:val="clear" w:color="auto" w:fill="FFFFFF"/>
        </w:rPr>
        <w:t>Addiction</w:t>
      </w:r>
      <w:r w:rsidRPr="00BE1D91">
        <w:rPr>
          <w:rFonts w:ascii="Times New Roman" w:hAnsi="Times New Roman" w:cs="Times New Roman"/>
          <w:color w:val="222222"/>
          <w:sz w:val="24"/>
          <w:szCs w:val="24"/>
          <w:shd w:val="clear" w:color="auto" w:fill="FFFFFF"/>
        </w:rPr>
        <w:t>, </w:t>
      </w:r>
      <w:r w:rsidRPr="00BE1D91">
        <w:rPr>
          <w:rFonts w:ascii="Times New Roman" w:hAnsi="Times New Roman" w:cs="Times New Roman"/>
          <w:i/>
          <w:iCs/>
          <w:color w:val="222222"/>
          <w:sz w:val="24"/>
          <w:szCs w:val="24"/>
          <w:shd w:val="clear" w:color="auto" w:fill="FFFFFF"/>
        </w:rPr>
        <w:t>112</w:t>
      </w:r>
      <w:r w:rsidRPr="00BE1D91">
        <w:rPr>
          <w:rFonts w:ascii="Times New Roman" w:hAnsi="Times New Roman" w:cs="Times New Roman"/>
          <w:color w:val="222222"/>
          <w:sz w:val="24"/>
          <w:szCs w:val="24"/>
          <w:shd w:val="clear" w:color="auto" w:fill="FFFFFF"/>
        </w:rPr>
        <w:t>(3), pp.526-532.</w:t>
      </w:r>
    </w:p>
    <w:p w:rsidR="00B76FCD" w:rsidRPr="00BE1D91" w:rsidRDefault="00B76FCD" w:rsidP="00F8458C">
      <w:pPr>
        <w:spacing w:line="480" w:lineRule="auto"/>
        <w:ind w:left="1008" w:hanging="1008"/>
        <w:rPr>
          <w:rFonts w:ascii="Times New Roman" w:hAnsi="Times New Roman" w:cs="Times New Roman"/>
          <w:color w:val="222222"/>
          <w:sz w:val="24"/>
          <w:szCs w:val="24"/>
          <w:shd w:val="clear" w:color="auto" w:fill="FFFFFF"/>
        </w:rPr>
      </w:pPr>
      <w:r w:rsidRPr="00BE1D91">
        <w:rPr>
          <w:rFonts w:ascii="Times New Roman" w:hAnsi="Times New Roman" w:cs="Times New Roman"/>
          <w:color w:val="222222"/>
          <w:sz w:val="24"/>
          <w:szCs w:val="24"/>
          <w:shd w:val="clear" w:color="auto" w:fill="FFFFFF"/>
        </w:rPr>
        <w:t xml:space="preserve">Mahboub, B.H., Vats, M.G., Al Zaabi, A., Iqbal, M.N., Safwat, T., Al-Hurish, F., Miravitlles, M., Singh, D., Asad, K., Zeineldine, S. and Al-Hajjaj, M.S., 2017. Joint statement for </w:t>
      </w:r>
      <w:r w:rsidRPr="00BE1D91">
        <w:rPr>
          <w:rFonts w:ascii="Times New Roman" w:hAnsi="Times New Roman" w:cs="Times New Roman"/>
          <w:color w:val="222222"/>
          <w:sz w:val="24"/>
          <w:szCs w:val="24"/>
          <w:shd w:val="clear" w:color="auto" w:fill="FFFFFF"/>
        </w:rPr>
        <w:lastRenderedPageBreak/>
        <w:t>the diagnosis, management, and prevention of chronic obstructive pulmonary disease for Gulf Cooperation Council countries and Middle East–North Africa region, 2017. </w:t>
      </w:r>
      <w:r w:rsidRPr="00BE1D91">
        <w:rPr>
          <w:rFonts w:ascii="Times New Roman" w:hAnsi="Times New Roman" w:cs="Times New Roman"/>
          <w:i/>
          <w:iCs/>
          <w:color w:val="222222"/>
          <w:sz w:val="24"/>
          <w:szCs w:val="24"/>
          <w:shd w:val="clear" w:color="auto" w:fill="FFFFFF"/>
        </w:rPr>
        <w:t>International Journal of Chronic Obstructive Pulmonary Disease</w:t>
      </w:r>
      <w:r w:rsidRPr="00BE1D91">
        <w:rPr>
          <w:rFonts w:ascii="Times New Roman" w:hAnsi="Times New Roman" w:cs="Times New Roman"/>
          <w:color w:val="222222"/>
          <w:sz w:val="24"/>
          <w:szCs w:val="24"/>
          <w:shd w:val="clear" w:color="auto" w:fill="FFFFFF"/>
        </w:rPr>
        <w:t>, </w:t>
      </w:r>
      <w:r w:rsidRPr="00BE1D91">
        <w:rPr>
          <w:rFonts w:ascii="Times New Roman" w:hAnsi="Times New Roman" w:cs="Times New Roman"/>
          <w:i/>
          <w:iCs/>
          <w:color w:val="222222"/>
          <w:sz w:val="24"/>
          <w:szCs w:val="24"/>
          <w:shd w:val="clear" w:color="auto" w:fill="FFFFFF"/>
        </w:rPr>
        <w:t>12</w:t>
      </w:r>
      <w:r w:rsidRPr="00BE1D91">
        <w:rPr>
          <w:rFonts w:ascii="Times New Roman" w:hAnsi="Times New Roman" w:cs="Times New Roman"/>
          <w:color w:val="222222"/>
          <w:sz w:val="24"/>
          <w:szCs w:val="24"/>
          <w:shd w:val="clear" w:color="auto" w:fill="FFFFFF"/>
        </w:rPr>
        <w:t>, p.2869.</w:t>
      </w:r>
    </w:p>
    <w:p w:rsidR="00B76FCD" w:rsidRPr="00BE1D91" w:rsidRDefault="00B76FCD" w:rsidP="00F8458C">
      <w:pPr>
        <w:spacing w:line="480" w:lineRule="auto"/>
        <w:ind w:left="1008" w:hanging="1008"/>
        <w:rPr>
          <w:rFonts w:ascii="Times New Roman" w:hAnsi="Times New Roman" w:cs="Times New Roman"/>
          <w:color w:val="222222"/>
          <w:sz w:val="24"/>
          <w:szCs w:val="24"/>
          <w:shd w:val="clear" w:color="auto" w:fill="FFFFFF"/>
        </w:rPr>
      </w:pPr>
      <w:r w:rsidRPr="00BE1D91">
        <w:rPr>
          <w:rFonts w:ascii="Times New Roman" w:hAnsi="Times New Roman" w:cs="Times New Roman"/>
          <w:color w:val="222222"/>
          <w:sz w:val="24"/>
          <w:szCs w:val="24"/>
          <w:shd w:val="clear" w:color="auto" w:fill="FFFFFF"/>
        </w:rPr>
        <w:t>Nemati, S., Rafei, A., Freedman, N.D., Fotouhi, A., Asgary, F. and Zendehdel, K., 2017. Cigarette and Water-Pipe Use in Iran: Geographical Distribution and Time Trends among the Adult Population; A Pooled Analysis of National STEPS Surveys, 2006-2009. </w:t>
      </w:r>
      <w:r w:rsidRPr="00BE1D91">
        <w:rPr>
          <w:rFonts w:ascii="Times New Roman" w:hAnsi="Times New Roman" w:cs="Times New Roman"/>
          <w:i/>
          <w:iCs/>
          <w:color w:val="222222"/>
          <w:sz w:val="24"/>
          <w:szCs w:val="24"/>
          <w:shd w:val="clear" w:color="auto" w:fill="FFFFFF"/>
        </w:rPr>
        <w:t>Archives of Iranian Medicine (AIM)</w:t>
      </w:r>
      <w:r w:rsidRPr="00BE1D91">
        <w:rPr>
          <w:rFonts w:ascii="Times New Roman" w:hAnsi="Times New Roman" w:cs="Times New Roman"/>
          <w:color w:val="222222"/>
          <w:sz w:val="24"/>
          <w:szCs w:val="24"/>
          <w:shd w:val="clear" w:color="auto" w:fill="FFFFFF"/>
        </w:rPr>
        <w:t>, </w:t>
      </w:r>
      <w:r w:rsidRPr="00BE1D91">
        <w:rPr>
          <w:rFonts w:ascii="Times New Roman" w:hAnsi="Times New Roman" w:cs="Times New Roman"/>
          <w:i/>
          <w:iCs/>
          <w:color w:val="222222"/>
          <w:sz w:val="24"/>
          <w:szCs w:val="24"/>
          <w:shd w:val="clear" w:color="auto" w:fill="FFFFFF"/>
        </w:rPr>
        <w:t>20</w:t>
      </w:r>
      <w:r w:rsidRPr="00BE1D91">
        <w:rPr>
          <w:rFonts w:ascii="Times New Roman" w:hAnsi="Times New Roman" w:cs="Times New Roman"/>
          <w:color w:val="222222"/>
          <w:sz w:val="24"/>
          <w:szCs w:val="24"/>
          <w:shd w:val="clear" w:color="auto" w:fill="FFFFFF"/>
        </w:rPr>
        <w:t>(5).</w:t>
      </w:r>
    </w:p>
    <w:p w:rsidR="00B76FCD" w:rsidRPr="00BE1D91" w:rsidRDefault="00B76FCD" w:rsidP="00F8458C">
      <w:pPr>
        <w:spacing w:line="480" w:lineRule="auto"/>
        <w:ind w:left="1008" w:hanging="1008"/>
        <w:rPr>
          <w:rFonts w:ascii="Times New Roman" w:hAnsi="Times New Roman" w:cs="Times New Roman"/>
          <w:color w:val="222222"/>
          <w:sz w:val="24"/>
          <w:szCs w:val="24"/>
          <w:shd w:val="clear" w:color="auto" w:fill="FFFFFF"/>
        </w:rPr>
      </w:pPr>
      <w:r w:rsidRPr="00BE1D91">
        <w:rPr>
          <w:rFonts w:ascii="Times New Roman" w:hAnsi="Times New Roman" w:cs="Times New Roman"/>
          <w:color w:val="222222"/>
          <w:sz w:val="24"/>
          <w:szCs w:val="24"/>
          <w:shd w:val="clear" w:color="auto" w:fill="FFFFFF"/>
        </w:rPr>
        <w:t>Stewart, B.W.K.P. and Wild, C.P., 2017. World cancer report 2014. </w:t>
      </w:r>
      <w:r w:rsidRPr="00BE1D91">
        <w:rPr>
          <w:rFonts w:ascii="Times New Roman" w:hAnsi="Times New Roman" w:cs="Times New Roman"/>
          <w:i/>
          <w:iCs/>
          <w:color w:val="222222"/>
          <w:sz w:val="24"/>
          <w:szCs w:val="24"/>
          <w:shd w:val="clear" w:color="auto" w:fill="FFFFFF"/>
        </w:rPr>
        <w:t>Health</w:t>
      </w:r>
      <w:r w:rsidRPr="00BE1D91">
        <w:rPr>
          <w:rFonts w:ascii="Times New Roman" w:hAnsi="Times New Roman" w:cs="Times New Roman"/>
          <w:color w:val="222222"/>
          <w:sz w:val="24"/>
          <w:szCs w:val="24"/>
          <w:shd w:val="clear" w:color="auto" w:fill="FFFFFF"/>
        </w:rPr>
        <w:t>.</w:t>
      </w:r>
    </w:p>
    <w:p w:rsidR="00B76FCD" w:rsidRPr="00BE1D91" w:rsidRDefault="00B76FCD" w:rsidP="00F8458C">
      <w:pPr>
        <w:spacing w:line="480" w:lineRule="auto"/>
        <w:ind w:left="1008" w:hanging="1008"/>
        <w:rPr>
          <w:rFonts w:ascii="Times New Roman" w:hAnsi="Times New Roman" w:cs="Times New Roman"/>
          <w:color w:val="222222"/>
          <w:sz w:val="24"/>
          <w:szCs w:val="24"/>
          <w:shd w:val="clear" w:color="auto" w:fill="FFFFFF"/>
        </w:rPr>
      </w:pPr>
      <w:r w:rsidRPr="00BE1D91">
        <w:rPr>
          <w:rFonts w:ascii="Times New Roman" w:hAnsi="Times New Roman" w:cs="Times New Roman"/>
          <w:color w:val="222222"/>
          <w:sz w:val="24"/>
          <w:szCs w:val="24"/>
          <w:shd w:val="clear" w:color="auto" w:fill="FFFFFF"/>
        </w:rPr>
        <w:t>Vupputuri, S., Hajat, C., Al-Houqani, M., Osman, O., Sreedharan, J., Ali, R., Crookes, A.E., Zhou, S., Sherman, S.E. and Weitzman, M., 2016. Midwakh/dokha tobacco use in the Middle East: much to learn. </w:t>
      </w:r>
      <w:r w:rsidRPr="00BE1D91">
        <w:rPr>
          <w:rFonts w:ascii="Times New Roman" w:hAnsi="Times New Roman" w:cs="Times New Roman"/>
          <w:i/>
          <w:iCs/>
          <w:color w:val="222222"/>
          <w:sz w:val="24"/>
          <w:szCs w:val="24"/>
          <w:shd w:val="clear" w:color="auto" w:fill="FFFFFF"/>
        </w:rPr>
        <w:t>Tobacco control</w:t>
      </w:r>
      <w:r w:rsidRPr="00BE1D91">
        <w:rPr>
          <w:rFonts w:ascii="Times New Roman" w:hAnsi="Times New Roman" w:cs="Times New Roman"/>
          <w:color w:val="222222"/>
          <w:sz w:val="24"/>
          <w:szCs w:val="24"/>
          <w:shd w:val="clear" w:color="auto" w:fill="FFFFFF"/>
        </w:rPr>
        <w:t>, </w:t>
      </w:r>
      <w:r w:rsidRPr="00BE1D91">
        <w:rPr>
          <w:rFonts w:ascii="Times New Roman" w:hAnsi="Times New Roman" w:cs="Times New Roman"/>
          <w:i/>
          <w:iCs/>
          <w:color w:val="222222"/>
          <w:sz w:val="24"/>
          <w:szCs w:val="24"/>
          <w:shd w:val="clear" w:color="auto" w:fill="FFFFFF"/>
        </w:rPr>
        <w:t>25</w:t>
      </w:r>
      <w:r w:rsidRPr="00BE1D91">
        <w:rPr>
          <w:rFonts w:ascii="Times New Roman" w:hAnsi="Times New Roman" w:cs="Times New Roman"/>
          <w:color w:val="222222"/>
          <w:sz w:val="24"/>
          <w:szCs w:val="24"/>
          <w:shd w:val="clear" w:color="auto" w:fill="FFFFFF"/>
        </w:rPr>
        <w:t>(2), pp.236-241.</w:t>
      </w:r>
    </w:p>
    <w:p w:rsidR="003F4F7B" w:rsidRPr="00BE1D91" w:rsidRDefault="003F4F7B" w:rsidP="00F8458C">
      <w:pPr>
        <w:spacing w:line="480" w:lineRule="auto"/>
        <w:rPr>
          <w:rFonts w:ascii="Times New Roman" w:hAnsi="Times New Roman" w:cs="Times New Roman"/>
          <w:sz w:val="24"/>
          <w:szCs w:val="24"/>
        </w:rPr>
      </w:pPr>
      <w:bookmarkStart w:id="0" w:name="_GoBack"/>
      <w:bookmarkEnd w:id="0"/>
    </w:p>
    <w:sectPr w:rsidR="003F4F7B" w:rsidRPr="00BE1D91" w:rsidSect="00C93165">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520" w:rsidRDefault="00CF1520" w:rsidP="00B76FCD">
      <w:pPr>
        <w:spacing w:after="0" w:line="240" w:lineRule="auto"/>
      </w:pPr>
      <w:r>
        <w:separator/>
      </w:r>
    </w:p>
  </w:endnote>
  <w:endnote w:type="continuationSeparator" w:id="1">
    <w:p w:rsidR="00CF1520" w:rsidRDefault="00CF1520" w:rsidP="00B76F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5805854"/>
      <w:docPartObj>
        <w:docPartGallery w:val="Page Numbers (Bottom of Page)"/>
        <w:docPartUnique/>
      </w:docPartObj>
    </w:sdtPr>
    <w:sdtEndPr>
      <w:rPr>
        <w:rFonts w:ascii="Times New Roman" w:hAnsi="Times New Roman" w:cs="Times New Roman"/>
        <w:noProof/>
        <w:sz w:val="24"/>
        <w:szCs w:val="24"/>
      </w:rPr>
    </w:sdtEndPr>
    <w:sdtContent>
      <w:p w:rsidR="002C3D2D" w:rsidRPr="002C3D2D" w:rsidRDefault="00C93165">
        <w:pPr>
          <w:pStyle w:val="Footer"/>
          <w:jc w:val="center"/>
          <w:rPr>
            <w:rFonts w:ascii="Times New Roman" w:hAnsi="Times New Roman" w:cs="Times New Roman"/>
            <w:sz w:val="24"/>
            <w:szCs w:val="24"/>
          </w:rPr>
        </w:pPr>
        <w:r w:rsidRPr="002C3D2D">
          <w:rPr>
            <w:rFonts w:ascii="Times New Roman" w:hAnsi="Times New Roman" w:cs="Times New Roman"/>
            <w:sz w:val="24"/>
            <w:szCs w:val="24"/>
          </w:rPr>
          <w:fldChar w:fldCharType="begin"/>
        </w:r>
        <w:r w:rsidR="002C3D2D" w:rsidRPr="002C3D2D">
          <w:rPr>
            <w:rFonts w:ascii="Times New Roman" w:hAnsi="Times New Roman" w:cs="Times New Roman"/>
            <w:sz w:val="24"/>
            <w:szCs w:val="24"/>
          </w:rPr>
          <w:instrText xml:space="preserve"> PAGE   \* MERGEFORMAT </w:instrText>
        </w:r>
        <w:r w:rsidRPr="002C3D2D">
          <w:rPr>
            <w:rFonts w:ascii="Times New Roman" w:hAnsi="Times New Roman" w:cs="Times New Roman"/>
            <w:sz w:val="24"/>
            <w:szCs w:val="24"/>
          </w:rPr>
          <w:fldChar w:fldCharType="separate"/>
        </w:r>
        <w:r w:rsidR="00F8458C">
          <w:rPr>
            <w:rFonts w:ascii="Times New Roman" w:hAnsi="Times New Roman" w:cs="Times New Roman"/>
            <w:noProof/>
            <w:sz w:val="24"/>
            <w:szCs w:val="24"/>
          </w:rPr>
          <w:t>1</w:t>
        </w:r>
        <w:r w:rsidRPr="002C3D2D">
          <w:rPr>
            <w:rFonts w:ascii="Times New Roman" w:hAnsi="Times New Roman" w:cs="Times New Roman"/>
            <w:noProof/>
            <w:sz w:val="24"/>
            <w:szCs w:val="24"/>
          </w:rPr>
          <w:fldChar w:fldCharType="end"/>
        </w:r>
      </w:p>
    </w:sdtContent>
  </w:sdt>
  <w:p w:rsidR="002C3D2D" w:rsidRDefault="002C3D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520" w:rsidRDefault="00CF1520" w:rsidP="00B76FCD">
      <w:pPr>
        <w:spacing w:after="0" w:line="240" w:lineRule="auto"/>
      </w:pPr>
      <w:r>
        <w:separator/>
      </w:r>
    </w:p>
  </w:footnote>
  <w:footnote w:type="continuationSeparator" w:id="1">
    <w:p w:rsidR="00CF1520" w:rsidRDefault="00CF1520" w:rsidP="00B76F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CD" w:rsidRPr="002C3D2D" w:rsidRDefault="002C3D2D" w:rsidP="002C3D2D">
    <w:pPr>
      <w:rPr>
        <w:rFonts w:ascii="Times New Roman" w:hAnsi="Times New Roman" w:cs="Times New Roman"/>
        <w:sz w:val="24"/>
        <w:szCs w:val="24"/>
      </w:rPr>
    </w:pPr>
    <w:r>
      <w:rPr>
        <w:rFonts w:ascii="Times New Roman" w:hAnsi="Times New Roman" w:cs="Times New Roman"/>
        <w:sz w:val="24"/>
        <w:szCs w:val="24"/>
      </w:rPr>
      <w:t>Types of Tobacco Consumption i</w:t>
    </w:r>
    <w:r w:rsidRPr="002C3D2D">
      <w:rPr>
        <w:rFonts w:ascii="Times New Roman" w:hAnsi="Times New Roman" w:cs="Times New Roman"/>
        <w:sz w:val="24"/>
        <w:szCs w:val="24"/>
      </w:rPr>
      <w:t xml:space="preserve">n </w:t>
    </w:r>
    <w:r>
      <w:rPr>
        <w:rFonts w:ascii="Times New Roman" w:hAnsi="Times New Roman" w:cs="Times New Roman"/>
        <w:sz w:val="24"/>
        <w:szCs w:val="24"/>
      </w:rPr>
      <w:t>t</w:t>
    </w:r>
    <w:r w:rsidRPr="002C3D2D">
      <w:rPr>
        <w:rFonts w:ascii="Times New Roman" w:hAnsi="Times New Roman" w:cs="Times New Roman"/>
        <w:sz w:val="24"/>
        <w:szCs w:val="24"/>
      </w:rPr>
      <w:t>he Gulf Region</w:t>
    </w:r>
    <w:r w:rsidR="00B76FCD" w:rsidRPr="002C3D2D">
      <w:rPr>
        <w:rFonts w:ascii="Times New Roman" w:hAnsi="Times New Roman" w:cs="Times New Roman"/>
        <w:sz w:val="24"/>
        <w:szCs w:val="24"/>
      </w:rPr>
      <w:t>.</w:t>
    </w:r>
  </w:p>
  <w:p w:rsidR="00B76FCD" w:rsidRPr="002C3D2D" w:rsidRDefault="00B76FC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84134"/>
    <w:rsid w:val="002C3D2D"/>
    <w:rsid w:val="003F4F7B"/>
    <w:rsid w:val="00886CA2"/>
    <w:rsid w:val="00B76FCD"/>
    <w:rsid w:val="00BE1D91"/>
    <w:rsid w:val="00C84134"/>
    <w:rsid w:val="00C93165"/>
    <w:rsid w:val="00CF1520"/>
    <w:rsid w:val="00F845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1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6F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76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FCD"/>
  </w:style>
  <w:style w:type="paragraph" w:styleId="Footer">
    <w:name w:val="footer"/>
    <w:basedOn w:val="Normal"/>
    <w:link w:val="FooterChar"/>
    <w:uiPriority w:val="99"/>
    <w:unhideWhenUsed/>
    <w:rsid w:val="00B76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FC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5451</Words>
  <Characters>31074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2017-11-15T18:27:00Z</dcterms:created>
  <dcterms:modified xsi:type="dcterms:W3CDTF">2017-11-15T18:27:00Z</dcterms:modified>
</cp:coreProperties>
</file>